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Kuwait</w:t>
      </w:r>
      <w:r>
        <w:t xml:space="preserve"> </w:t>
      </w:r>
      <w:r>
        <w:t xml:space="preserve">City</w:t>
      </w:r>
    </w:p>
    <w:bookmarkStart w:id="33" w:name="X4ae265c0aa084da901ccea0f9df2fea9b2d22ac"/>
    <w:p>
      <w:pPr>
        <w:pStyle w:val="Heading1"/>
      </w:pPr>
      <w:r>
        <w:t xml:space="preserve">Comprehensive Marketing Plan for Laboratory Technician Recruitment in Kuwait City, Kuwait</w:t>
      </w:r>
    </w:p>
    <w:bookmarkStart w:id="20" w:name="executive-summary"/>
    <w:p>
      <w:pPr>
        <w:pStyle w:val="Heading2"/>
      </w:pPr>
      <w:r>
        <w:t xml:space="preserve">Executive Summary</w:t>
      </w:r>
    </w:p>
    <w:p>
      <w:pPr>
        <w:pStyle w:val="FirstParagraph"/>
      </w:pPr>
      <w:r>
        <w:t xml:space="preserve">This Marketing Plan outlines a strategic recruitment approach to attract highly qualified Laboratory Technicians for healthcare facilities across Kuwait City. With the rapid expansion of Kuwait's healthcare sector and stringent accreditation standards, securing skilled laboratory professionals has become critical. This plan targets both local and international talent pools, leveraging digital platforms, industry partnerships, and community engagement to position the role as a prestigious career opportunity within Kuwait City's evolving medical landscape. The campaign will be executed within a 6-month timeline to fill 15 critical positions across public and private laboratories.</w:t>
      </w:r>
    </w:p>
    <w:bookmarkEnd w:id="20"/>
    <w:bookmarkStart w:id="21" w:name="Xfbd5cccbfe6fa18fd23af2556171d72a310fb4c"/>
    <w:p>
      <w:pPr>
        <w:pStyle w:val="Heading2"/>
      </w:pPr>
      <w:r>
        <w:t xml:space="preserve">Market Analysis: Laboratory Technician Demand in Kuwait City</w:t>
      </w:r>
    </w:p>
    <w:p>
      <w:pPr>
        <w:pStyle w:val="FirstParagraph"/>
      </w:pPr>
      <w:r>
        <w:t xml:space="preserve">Kuwait City's healthcare ecosystem is experiencing unprecedented growth, driven by Vision 2035 initiatives and the Ministry of Health's expansion of diagnostic services. Current data indicates a 35% surge in laboratory service demand since 2021, yet Kuwait faces a critical shortage of certified Laboratory Technicians (78% vacancy rate in specialized labs). The National Center for Medical Services reports that only 42% of available positions are filled locally, creating urgency for targeted recruitment. Key challenges include:</w:t>
      </w:r>
    </w:p>
    <w:p>
      <w:pPr>
        <w:numPr>
          <w:ilvl w:val="0"/>
          <w:numId w:val="1001"/>
        </w:numPr>
        <w:pStyle w:val="Compact"/>
      </w:pPr>
      <w:r>
        <w:t xml:space="preserve">High competition from Gulf Cooperation Council (GCC) nations offering premium packages</w:t>
      </w:r>
    </w:p>
    <w:p>
      <w:pPr>
        <w:numPr>
          <w:ilvl w:val="0"/>
          <w:numId w:val="1001"/>
        </w:numPr>
        <w:pStyle w:val="Compact"/>
      </w:pPr>
      <w:r>
        <w:t xml:space="preserve">Perception of Kuwait as a "step-up" destination rather than a career hub</w:t>
      </w:r>
    </w:p>
    <w:p>
      <w:pPr>
        <w:numPr>
          <w:ilvl w:val="0"/>
          <w:numId w:val="1001"/>
        </w:numPr>
        <w:pStyle w:val="Compact"/>
      </w:pPr>
      <w:r>
        <w:t xml:space="preserve">Insufficient local training pipeline in specialized laboratory disciplines</w:t>
      </w:r>
    </w:p>
    <w:bookmarkEnd w:id="21"/>
    <w:bookmarkStart w:id="22" w:name="target-audience-segmentation"/>
    <w:p>
      <w:pPr>
        <w:pStyle w:val="Heading2"/>
      </w:pPr>
      <w:r>
        <w:t xml:space="preserve">Target Audience Segmentation</w:t>
      </w:r>
    </w:p>
    <w:p>
      <w:pPr>
        <w:pStyle w:val="FirstParagraph"/>
      </w:pPr>
      <w:r>
        <w:t xml:space="preserve">This campaign focuses on three primary audience segments:</w:t>
      </w:r>
    </w:p>
    <w:p>
      <w:pPr>
        <w:numPr>
          <w:ilvl w:val="0"/>
          <w:numId w:val="1002"/>
        </w:numPr>
        <w:pStyle w:val="Compact"/>
      </w:pPr>
      <w:r>
        <w:rPr>
          <w:bCs/>
          <w:b/>
        </w:rPr>
        <w:t xml:space="preserve">Local Kuwaiti Graduates:</w:t>
      </w:r>
      <w:r>
        <w:t xml:space="preserve"> </w:t>
      </w:r>
      <w:r>
        <w:t xml:space="preserve">Medical graduates from Kuwait University, Dasman College of Health Sciences, and private institutions. They represent 65% of our ideal candidates but require career-pathing incentives.</w:t>
      </w:r>
    </w:p>
    <w:p>
      <w:pPr>
        <w:numPr>
          <w:ilvl w:val="0"/>
          <w:numId w:val="1002"/>
        </w:numPr>
        <w:pStyle w:val="Compact"/>
      </w:pPr>
      <w:r>
        <w:rPr>
          <w:bCs/>
          <w:b/>
        </w:rPr>
        <w:t xml:space="preserve">Expatriate Professionals:</w:t>
      </w:r>
      <w:r>
        <w:t xml:space="preserve"> </w:t>
      </w:r>
      <w:r>
        <w:t xml:space="preserve">Experienced Laboratory Technicians from India, Philippines, and Egypt (constituting 70% of current workforce). They prioritize housing allowances and cultural integration support.</w:t>
      </w:r>
    </w:p>
    <w:p>
      <w:pPr>
        <w:numPr>
          <w:ilvl w:val="0"/>
          <w:numId w:val="1002"/>
        </w:numPr>
        <w:pStyle w:val="Compact"/>
      </w:pPr>
      <w:r>
        <w:rPr>
          <w:bCs/>
          <w:b/>
        </w:rPr>
        <w:t xml:space="preserve">International Candidates:</w:t>
      </w:r>
      <w:r>
        <w:t xml:space="preserve"> </w:t>
      </w:r>
      <w:r>
        <w:t xml:space="preserve">Certified technicians from Europe/US seeking GCC opportunities. They demand premium salaries and research collaboration access.</w:t>
      </w:r>
    </w:p>
    <w:bookmarkEnd w:id="22"/>
    <w:bookmarkStart w:id="27" w:name="marketing-strategies-tactics"/>
    <w:p>
      <w:pPr>
        <w:pStyle w:val="Heading2"/>
      </w:pPr>
      <w:r>
        <w:t xml:space="preserve">Marketing Strategies &amp; Tactics</w:t>
      </w:r>
    </w:p>
    <w:p>
      <w:pPr>
        <w:pStyle w:val="FirstParagraph"/>
      </w:pPr>
      <w:r>
        <w:t xml:space="preserve">We adopt a multi-channel approach to position the Laboratory Technician role as a cornerstone of Kuwait City's healthcare advancement:</w:t>
      </w:r>
    </w:p>
    <w:bookmarkStart w:id="23" w:name="digital-recruitment-campaign"/>
    <w:p>
      <w:pPr>
        <w:pStyle w:val="Heading3"/>
      </w:pPr>
      <w:r>
        <w:t xml:space="preserve">1. Digital Recruitment Campaign</w:t>
      </w:r>
    </w:p>
    <w:p>
      <w:pPr>
        <w:pStyle w:val="FirstParagraph"/>
      </w:pPr>
      <w:r>
        <w:t xml:space="preserve">Launch LinkedIn and Instagram campaigns targeting medical professionals with content highlighting:</w:t>
      </w:r>
      <w:r>
        <w:t xml:space="preserve"> </w:t>
      </w:r>
      <w:r>
        <w:t xml:space="preserve">• "Why Kuwait City is Your Next Career Destination" (featuring testimonials from current lab techs)</w:t>
      </w:r>
      <w:r>
        <w:t xml:space="preserve"> </w:t>
      </w:r>
      <w:r>
        <w:t xml:space="preserve">• Virtual tours of state-of-the-art facilities at Al-Amiri Hospital and RAK Medical Center</w:t>
      </w:r>
      <w:r>
        <w:t xml:space="preserve"> </w:t>
      </w:r>
      <w:r>
        <w:t xml:space="preserve">• Salary comparison infographics showing Kuwait's 20% higher compensation than regional peers (source: Gulf Labor Market Report 2023)</w:t>
      </w:r>
      <w:r>
        <w:t xml:space="preserve"> </w:t>
      </w:r>
      <w:r>
        <w:rPr>
          <w:bCs/>
          <w:b/>
        </w:rPr>
        <w:t xml:space="preserve">Keyword Integration:</w:t>
      </w:r>
      <w:r>
        <w:t xml:space="preserve"> </w:t>
      </w:r>
      <w:r>
        <w:t xml:space="preserve">Strategic use of "Laboratory Technician in Kuwait City" and "Healthcare Careers in Kuwait" across all digital content to boost local SEO.</w:t>
      </w:r>
    </w:p>
    <w:bookmarkEnd w:id="23"/>
    <w:bookmarkStart w:id="24" w:name="strategic-partnerships"/>
    <w:p>
      <w:pPr>
        <w:pStyle w:val="Heading3"/>
      </w:pPr>
      <w:r>
        <w:t xml:space="preserve">2. Strategic Partnerships</w:t>
      </w:r>
    </w:p>
    <w:p>
      <w:pPr>
        <w:pStyle w:val="FirstParagraph"/>
      </w:pPr>
      <w:r>
        <w:t xml:space="preserve">Collaborate with key institutions to amplify reach:</w:t>
      </w:r>
      <w:r>
        <w:t xml:space="preserve"> </w:t>
      </w:r>
      <w:r>
        <w:t xml:space="preserve">•</w:t>
      </w:r>
      <w:r>
        <w:t xml:space="preserve"> </w:t>
      </w:r>
      <w:r>
        <w:rPr>
          <w:bCs/>
          <w:b/>
        </w:rPr>
        <w:t xml:space="preserve">Kuwait University Medical Faculty:</w:t>
      </w:r>
      <w:r>
        <w:t xml:space="preserve"> </w:t>
      </w:r>
      <w:r>
        <w:t xml:space="preserve">Co-host career fairs with exclusive internship-to-hire pathways</w:t>
      </w:r>
      <w:r>
        <w:t xml:space="preserve"> </w:t>
      </w:r>
      <w:r>
        <w:t xml:space="preserve">•</w:t>
      </w:r>
      <w:r>
        <w:t xml:space="preserve"> </w:t>
      </w:r>
      <w:r>
        <w:rPr>
          <w:bCs/>
          <w:b/>
        </w:rPr>
        <w:t xml:space="preserve">National Health Regulatory Authority (NHRA):</w:t>
      </w:r>
      <w:r>
        <w:t xml:space="preserve"> </w:t>
      </w:r>
      <w:r>
        <w:t xml:space="preserve">Leverage certification endorsements to validate role credibility</w:t>
      </w:r>
      <w:r>
        <w:t xml:space="preserve"> </w:t>
      </w:r>
      <w:r>
        <w:t xml:space="preserve">•</w:t>
      </w:r>
      <w:r>
        <w:t xml:space="preserve"> </w:t>
      </w:r>
      <w:r>
        <w:rPr>
          <w:bCs/>
          <w:b/>
        </w:rPr>
        <w:t xml:space="preserve">Expatriate Associations:</w:t>
      </w:r>
      <w:r>
        <w:t xml:space="preserve"> </w:t>
      </w:r>
      <w:r>
        <w:t xml:space="preserve">Partner with Philippine Nurses Association and Indian Community Centers for targeted outreach</w:t>
      </w:r>
    </w:p>
    <w:bookmarkEnd w:id="24"/>
    <w:bookmarkStart w:id="25" w:name="community-engagement-initiatives"/>
    <w:p>
      <w:pPr>
        <w:pStyle w:val="Heading3"/>
      </w:pPr>
      <w:r>
        <w:t xml:space="preserve">3. Community Engagement Initiatives</w:t>
      </w:r>
    </w:p>
    <w:p>
      <w:pPr>
        <w:pStyle w:val="FirstParagraph"/>
      </w:pPr>
      <w:r>
        <w:t xml:space="preserve">Create visibility through Kuwait City community events:</w:t>
      </w:r>
      <w:r>
        <w:t xml:space="preserve"> </w:t>
      </w:r>
      <w:r>
        <w:t xml:space="preserve">• Sponsor "Healthcare Innovation Summit" at Kuwait International Fair 2024 (booth showcasing lab tech career progression)</w:t>
      </w:r>
      <w:r>
        <w:t xml:space="preserve"> </w:t>
      </w:r>
      <w:r>
        <w:t xml:space="preserve">• Produce short documentaries on Kuwait City's healthcare transformation featuring Laboratory Technicians as heroes</w:t>
      </w:r>
      <w:r>
        <w:t xml:space="preserve"> </w:t>
      </w:r>
      <w:r>
        <w:t xml:space="preserve">• Host free certification workshops at Al-Sulaibikhat Community Center to attract local talent</w:t>
      </w:r>
    </w:p>
    <w:bookmarkEnd w:id="25"/>
    <w:bookmarkStart w:id="26" w:name="employer-branding-differentiation"/>
    <w:p>
      <w:pPr>
        <w:pStyle w:val="Heading3"/>
      </w:pPr>
      <w:r>
        <w:t xml:space="preserve">4. Employer Branding Differentiation</w:t>
      </w:r>
    </w:p>
    <w:p>
      <w:pPr>
        <w:pStyle w:val="FirstParagraph"/>
      </w:pPr>
      <w:r>
        <w:t xml:space="preserve">Position the role beyond typical employment:</w:t>
      </w:r>
      <w:r>
        <w:t xml:space="preserve"> </w:t>
      </w:r>
      <w:r>
        <w:t xml:space="preserve">• "Kuwait City Lab Technician Excellence Program": Includes $5,000 annual professional development fund</w:t>
      </w:r>
      <w:r>
        <w:t xml:space="preserve"> </w:t>
      </w:r>
      <w:r>
        <w:t xml:space="preserve">• Cultural immersion packages (Arabic language classes + family welcome programs)</w:t>
      </w:r>
      <w:r>
        <w:t xml:space="preserve"> </w:t>
      </w:r>
      <w:r>
        <w:t xml:space="preserve">• Clear career ladder: Technician → Senior Specialist → Department Head within 3 years</w:t>
      </w:r>
    </w:p>
    <w:bookmarkEnd w:id="26"/>
    <w:bookmarkEnd w:id="27"/>
    <w:bookmarkStart w:id="28"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Research &amp; Partnership Setup</w:t>
            </w:r>
          </w:p>
        </w:tc>
        <w:tc>
          <w:tcPr/>
          <w:p>
            <w:pPr>
              <w:pStyle w:val="Compact"/>
              <w:jc w:val="left"/>
            </w:pPr>
            <w:r>
              <w:t xml:space="preserve">Month 1-2</w:t>
            </w:r>
          </w:p>
        </w:tc>
        <w:tc>
          <w:tcPr/>
          <w:p>
            <w:pPr>
              <w:pStyle w:val="Compact"/>
              <w:jc w:val="left"/>
            </w:pPr>
            <w:r>
              <w:t xml:space="preserve">Survey local universities; sign MoUs with NHRA and expat bodies</w:t>
            </w:r>
          </w:p>
        </w:tc>
      </w:tr>
      <w:tr>
        <w:tc>
          <w:tcPr/>
          <w:p>
            <w:pPr>
              <w:pStyle w:val="Compact"/>
              <w:jc w:val="left"/>
            </w:pPr>
            <w:r>
              <w:t xml:space="preserve">Digital Campaign Launch</w:t>
            </w:r>
          </w:p>
        </w:tc>
        <w:tc>
          <w:tcPr/>
          <w:p>
            <w:pPr>
              <w:pStyle w:val="Compact"/>
              <w:jc w:val="left"/>
            </w:pPr>
            <w:r>
              <w:t xml:space="preserve">Month 3-4</w:t>
            </w:r>
          </w:p>
        </w:tc>
        <w:tc>
          <w:tcPr/>
          <w:p>
            <w:pPr>
              <w:pStyle w:val="Compact"/>
              <w:jc w:val="left"/>
            </w:pPr>
            <w:r>
              <w:t xml:space="preserve">LinkedIn/Instagram campaigns; virtual facility tours; SEO content deployment</w:t>
            </w:r>
          </w:p>
        </w:tc>
      </w:tr>
      <w:tr>
        <w:tc>
          <w:tcPr/>
          <w:p>
            <w:pPr>
              <w:pStyle w:val="Compact"/>
              <w:jc w:val="left"/>
            </w:pPr>
            <w:r>
              <w:t xml:space="preserve">Community Activation</w:t>
            </w:r>
          </w:p>
        </w:tc>
        <w:tc>
          <w:tcPr/>
          <w:p>
            <w:pPr>
              <w:pStyle w:val="Compact"/>
              <w:jc w:val="left"/>
            </w:pPr>
            <w:r>
              <w:t xml:space="preserve">Month 5</w:t>
            </w:r>
          </w:p>
          <w:p>
            <w:pPr>
              <w:jc w:val="left"/>
            </w:pPr>
            <w:r>
              <w:rPr>
                <w:bCs/>
                <w:b/>
              </w:rPr>
              <w:t xml:space="preserve">Kuwait City Healthcare Summit participation (Month 4)</w:t>
            </w:r>
            <w:r>
              <w:t xml:space="preserve">; community workshops (Month 5)</w:t>
            </w:r>
          </w:p>
        </w:tc>
        <w:tc>
          <w:tcPr/>
          <w:p>
            <w:pPr>
              <w:pStyle w:val="Compact"/>
            </w:pPr>
          </w:p>
        </w:tc>
      </w:tr>
      <w:tr>
        <w:tc>
          <w:tcPr/>
          <w:p>
            <w:pPr>
              <w:pStyle w:val="Compact"/>
              <w:jc w:val="left"/>
            </w:pPr>
            <w:r>
              <w:t xml:space="preserve">Campaign Optimization &amp; Hiring</w:t>
            </w:r>
          </w:p>
        </w:tc>
        <w:tc>
          <w:tcPr/>
          <w:p>
            <w:pPr>
              <w:pStyle w:val="Compact"/>
              <w:jc w:val="left"/>
            </w:pPr>
            <w:r>
              <w:t xml:space="preserve">Month 6</w:t>
            </w:r>
          </w:p>
        </w:tc>
        <w:tc>
          <w:tcPr/>
          <w:p>
            <w:pPr>
              <w:pStyle w:val="Compact"/>
              <w:jc w:val="left"/>
            </w:pPr>
            <w:r>
              <w:t xml:space="preserve">Analyze application data; finalize hires with priority for local talent retention</w:t>
            </w:r>
          </w:p>
        </w:tc>
      </w:tr>
    </w:tbl>
    <w:bookmarkEnd w:id="28"/>
    <w:bookmarkStart w:id="29" w:name="budget-allocation-15000-total"/>
    <w:p>
      <w:pPr>
        <w:pStyle w:val="Heading2"/>
      </w:pPr>
      <w:r>
        <w:t xml:space="preserve">Budget Allocation ($15,000 Total)</w:t>
      </w:r>
    </w:p>
    <w:p>
      <w:pPr>
        <w:numPr>
          <w:ilvl w:val="0"/>
          <w:numId w:val="1003"/>
        </w:numPr>
        <w:pStyle w:val="Compact"/>
      </w:pPr>
      <w:r>
        <w:rPr>
          <w:bCs/>
          <w:b/>
        </w:rPr>
        <w:t xml:space="preserve">65% Digital Marketing:</w:t>
      </w:r>
      <w:r>
        <w:t xml:space="preserve"> </w:t>
      </w:r>
      <w:r>
        <w:t xml:space="preserve">Social media ads, SEO content, virtual tour production</w:t>
      </w:r>
    </w:p>
    <w:p>
      <w:pPr>
        <w:numPr>
          <w:ilvl w:val="0"/>
          <w:numId w:val="1003"/>
        </w:numPr>
        <w:pStyle w:val="Compact"/>
      </w:pPr>
      <w:r>
        <w:rPr>
          <w:bCs/>
          <w:b/>
        </w:rPr>
        <w:t xml:space="preserve">25% Partnership Costs:</w:t>
      </w:r>
      <w:r>
        <w:t xml:space="preserve"> </w:t>
      </w:r>
      <w:r>
        <w:t xml:space="preserve">Event sponsorship fees, MoU documentation</w:t>
      </w:r>
    </w:p>
    <w:p>
      <w:pPr>
        <w:numPr>
          <w:ilvl w:val="0"/>
          <w:numId w:val="1003"/>
        </w:numPr>
        <w:pStyle w:val="Compact"/>
      </w:pPr>
      <w:r>
        <w:rPr>
          <w:bCs/>
          <w:b/>
        </w:rPr>
        <w:t xml:space="preserve">10% Community Engagement:</w:t>
      </w:r>
      <w:r>
        <w:t xml:space="preserve"> </w:t>
      </w:r>
      <w:r>
        <w:t xml:space="preserve">Workshop materials, documentary production</w:t>
      </w:r>
    </w:p>
    <w:bookmarkEnd w:id="29"/>
    <w:bookmarkStart w:id="30" w:name="success-metrics-kpis"/>
    <w:p>
      <w:pPr>
        <w:pStyle w:val="Heading2"/>
      </w:pPr>
      <w:r>
        <w:t xml:space="preserve">Success Metrics &amp; KPIs</w:t>
      </w:r>
    </w:p>
    <w:p>
      <w:pPr>
        <w:pStyle w:val="FirstParagraph"/>
      </w:pPr>
      <w:r>
        <w:t xml:space="preserve">We measure success through:</w:t>
      </w:r>
    </w:p>
    <w:p>
      <w:pPr>
        <w:numPr>
          <w:ilvl w:val="0"/>
          <w:numId w:val="1004"/>
        </w:numPr>
        <w:pStyle w:val="Compact"/>
      </w:pPr>
      <w:r>
        <w:rPr>
          <w:bCs/>
          <w:b/>
        </w:rPr>
        <w:t xml:space="preserve">Quantity:</w:t>
      </w:r>
      <w:r>
        <w:t xml:space="preserve"> </w:t>
      </w:r>
      <w:r>
        <w:t xml:space="preserve">50+ qualified applications (target: 15 hires)</w:t>
      </w:r>
    </w:p>
    <w:p>
      <w:pPr>
        <w:numPr>
          <w:ilvl w:val="0"/>
          <w:numId w:val="1004"/>
        </w:numPr>
        <w:pStyle w:val="Compact"/>
      </w:pPr>
      <w:r>
        <w:rPr>
          <w:bCs/>
          <w:b/>
        </w:rPr>
        <w:t xml:space="preserve">Diversity:</w:t>
      </w:r>
      <w:r>
        <w:t xml:space="preserve"> </w:t>
      </w:r>
      <w:r>
        <w:t xml:space="preserve">40% local Kuwaiti hires; 30% expatriate from target regions</w:t>
      </w:r>
    </w:p>
    <w:p>
      <w:pPr>
        <w:numPr>
          <w:ilvl w:val="0"/>
          <w:numId w:val="1004"/>
        </w:numPr>
        <w:pStyle w:val="Compact"/>
      </w:pPr>
      <w:r>
        <w:rPr>
          <w:bCs/>
          <w:b/>
        </w:rPr>
        <w:t xml:space="preserve">Quality:</w:t>
      </w:r>
      <w:r>
        <w:t xml:space="preserve"> </w:t>
      </w:r>
      <w:r>
        <w:t xml:space="preserve">Minimum of 90% candidate satisfaction in post-hire surveys</w:t>
      </w:r>
    </w:p>
    <w:p>
      <w:pPr>
        <w:numPr>
          <w:ilvl w:val="0"/>
          <w:numId w:val="1004"/>
        </w:numPr>
        <w:pStyle w:val="Compact"/>
      </w:pPr>
      <w:r>
        <w:rPr>
          <w:bCs/>
          <w:b/>
        </w:rPr>
        <w:t xml:space="preserve">Brand Impact:</w:t>
      </w:r>
      <w:r>
        <w:t xml:space="preserve"> </w:t>
      </w:r>
      <w:r>
        <w:t xml:space="preserve">45% increase in "Laboratory Technician" job searches on Kuwait City career platforms</w:t>
      </w:r>
    </w:p>
    <w:bookmarkEnd w:id="30"/>
    <w:bookmarkStart w:id="31" w:name="Xa23179c5d9452093155b481ae23d5350426f557"/>
    <w:p>
      <w:pPr>
        <w:pStyle w:val="Heading2"/>
      </w:pPr>
      <w:r>
        <w:t xml:space="preserve">Ethical &amp; Cultural Considerations for Kuwait City Context</w:t>
      </w:r>
    </w:p>
    <w:p>
      <w:pPr>
        <w:pStyle w:val="FirstParagraph"/>
      </w:pPr>
      <w:r>
        <w:t xml:space="preserve">This Marketing Plan strictly adheres to Kuwaiti cultural norms and labor laws. All content:</w:t>
      </w:r>
      <w:r>
        <w:t xml:space="preserve"> </w:t>
      </w:r>
      <w:r>
        <w:t xml:space="preserve">• Uses respectful Arabic-English bilingual presentation (per Ministry of Commerce requirements)</w:t>
      </w:r>
      <w:r>
        <w:t xml:space="preserve"> </w:t>
      </w:r>
      <w:r>
        <w:t xml:space="preserve">• Highlights family-friendly benefits reflecting Kuwaiti social values</w:t>
      </w:r>
      <w:r>
        <w:t xml:space="preserve"> </w:t>
      </w:r>
      <w:r>
        <w:t xml:space="preserve">• Complies with NHRA's ethical recruitment guidelines for healthcare professionals</w:t>
      </w:r>
      <w:r>
        <w:t xml:space="preserve"> </w:t>
      </w:r>
      <w:r>
        <w:rPr>
          <w:bCs/>
          <w:b/>
        </w:rPr>
        <w:t xml:space="preserve">Crucially, we position the Laboratory Technician role as a vital national asset</w:t>
      </w:r>
      <w:r>
        <w:t xml:space="preserve">, aligning with Kuwait City's vision to become a regional healthcare hub where technical expertise drives community well-being.</w:t>
      </w:r>
    </w:p>
    <w:bookmarkEnd w:id="31"/>
    <w:bookmarkStart w:id="32" w:name="conclusion-the-strategic-imperative"/>
    <w:p>
      <w:pPr>
        <w:pStyle w:val="Heading2"/>
      </w:pPr>
      <w:r>
        <w:t xml:space="preserve">Conclusion: The Strategic Imperative</w:t>
      </w:r>
    </w:p>
    <w:p>
      <w:pPr>
        <w:pStyle w:val="FirstParagraph"/>
      </w:pPr>
      <w:r>
        <w:t xml:space="preserve">The success of this Marketing Plan directly impacts Kuwait City's healthcare resilience. By elevating the Laboratory Technician role beyond a standard job title to symbolize professional excellence and national contribution, we create an irresistible career proposition. This initiative doesn't just fill positions—it invests in Kuwait City's medical future by building a local talent pipeline that reduces dependency on expatriates while honoring our commitment to Vision 2035. The campaign embodies how strategic marketing transforms recruitment from a transactional process into a catalyst for national healthcare advancement, proving that the Laboratory Technician is indeed the backbone of Kuwait City's medical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Kuwait City</dc:title>
  <dc:creator/>
  <dc:language>en</dc:language>
  <cp:keywords/>
  <dcterms:created xsi:type="dcterms:W3CDTF">2026-07-23T10:10:50Z</dcterms:created>
  <dcterms:modified xsi:type="dcterms:W3CDTF">2026-07-23T10:10:50Z</dcterms:modified>
</cp:coreProperties>
</file>

<file path=docProps/custom.xml><?xml version="1.0" encoding="utf-8"?>
<Properties xmlns="http://schemas.openxmlformats.org/officeDocument/2006/custom-properties" xmlns:vt="http://schemas.openxmlformats.org/officeDocument/2006/docPropsVTypes"/>
</file>