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Role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X724ef5ac44df13a64075ce8ef0e26c37a6ba25a"/>
    <w:p>
      <w:pPr>
        <w:pStyle w:val="Heading1"/>
      </w:pPr>
      <w:r>
        <w:t xml:space="preserve">Strategic Marketing Plan for Attracting Top-Quality Laboratory Technicians in United Kingdom Birmingham</w:t>
      </w:r>
    </w:p>
    <w:bookmarkStart w:id="20" w:name="executive-summary"/>
    <w:p>
      <w:pPr>
        <w:pStyle w:val="Heading2"/>
      </w:pPr>
      <w:r>
        <w:t xml:space="preserve">Executive Summary</w:t>
      </w:r>
    </w:p>
    <w:p>
      <w:pPr>
        <w:pStyle w:val="FirstParagraph"/>
      </w:pPr>
      <w:r>
        <w:t xml:space="preserve">This comprehensive Marketing Plan outlines a targeted strategy to recruit skilled Laboratory Technicians for the dynamic healthcare and research landscape of United Kingdom Birmingham. As Birmingham emerges as a pivotal hub for biomedical innovation within the Midlands, this plan addresses critical talent gaps in NHS trusts, private diagnostic laboratories, and academic institutions. With over 500 laboratory technician vacancies across Birmingham’s healthcare sector annually (Source: Health Education England), our campaign prioritises local talent acquisition while leveraging Birmingham’s unique economic and educational ecosystem. This initiative ensures sustainable workforce growth for the United Kingdom Birmingham market.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position as the UK’s second-largest city offers unparalleled advantages for Laboratory Technician recruitment. The city hosts 18% of England’s NHS trusts, including major centres like Queen Elizabeth Hospital and Birmingham Women’s Hospital. Crucially, the University of Birmingham and Aston University produce 3,500+ science graduates annually—creating a ready talent pipeline. However, competition for skilled laboratory technicians is intense: private labs in Birmingham report 32% higher retention challenges than national averages (NHS Digital 2023). This plan directly addresses these challenges by positioning the Laboratory Technician role within Birmingham’s growth narrative, emphasising competitive salaries (averaging £31,500–£40,500), career progression paths to senior roles, and community integration. The United Kingdom Birmingham market demands a recruitment strategy that resonates with local values: efficiency, innovation, and community impact.</w:t>
      </w:r>
    </w:p>
    <w:bookmarkEnd w:id="21"/>
    <w:bookmarkStart w:id="22" w:name="target-audience-segmentation"/>
    <w:p>
      <w:pPr>
        <w:pStyle w:val="Heading2"/>
      </w:pPr>
      <w:r>
        <w:t xml:space="preserve">Target Audience Segmentation</w:t>
      </w:r>
    </w:p>
    <w:p>
      <w:pPr>
        <w:pStyle w:val="FirstParagraph"/>
      </w:pPr>
      <w:r>
        <w:t xml:space="preserve">Our primary focus is segmented into three high-potential groups within the United Kingdom Birmingham area:</w:t>
      </w:r>
    </w:p>
    <w:p>
      <w:pPr>
        <w:numPr>
          <w:ilvl w:val="0"/>
          <w:numId w:val="1001"/>
        </w:numPr>
        <w:pStyle w:val="Compact"/>
      </w:pPr>
      <w:r>
        <w:rPr>
          <w:bCs/>
          <w:b/>
        </w:rPr>
        <w:t xml:space="preserve">Local Graduates</w:t>
      </w:r>
      <w:r>
        <w:t xml:space="preserve">: Final-year bioscience/medical technology students from University of Birmingham, Aston University, and City College Birmingham.</w:t>
      </w:r>
    </w:p>
    <w:p>
      <w:pPr>
        <w:numPr>
          <w:ilvl w:val="0"/>
          <w:numId w:val="1001"/>
        </w:numPr>
        <w:pStyle w:val="Compact"/>
      </w:pPr>
      <w:r>
        <w:rPr>
          <w:bCs/>
          <w:b/>
        </w:rPr>
        <w:t xml:space="preserve">Mid-Career Professionals</w:t>
      </w:r>
      <w:r>
        <w:t xml:space="preserve">: Existing technicians in Coventry or Manchester seeking relocation opportunities with better work-life balance than London.</w:t>
      </w:r>
    </w:p>
    <w:p>
      <w:pPr>
        <w:numPr>
          <w:ilvl w:val="0"/>
          <w:numId w:val="1001"/>
        </w:numPr>
        <w:pStyle w:val="Compact"/>
      </w:pPr>
      <w:r>
        <w:rPr>
          <w:bCs/>
          <w:b/>
        </w:rPr>
        <w:t xml:space="preserve">Experienced Candidates</w:t>
      </w:r>
      <w:r>
        <w:t xml:space="preserve">: Retired NHS technicians returning to part-time roles within Birmingham’s community health networks.</w:t>
      </w:r>
    </w:p>
    <w:p>
      <w:pPr>
        <w:pStyle w:val="FirstParagraph"/>
      </w:pPr>
      <w:r>
        <w:t xml:space="preserve">Campaign messaging will differentiate by segment: University-focused content highlighting "Birmingham Graduate Career Acceleration," relocation incentives for Midlands professionals, and flexible scheduling for returning healthcare workers.</w:t>
      </w:r>
    </w:p>
    <w:bookmarkEnd w:id="22"/>
    <w:bookmarkStart w:id="23" w:name="competitive-positioning"/>
    <w:p>
      <w:pPr>
        <w:pStyle w:val="Heading2"/>
      </w:pPr>
      <w:r>
        <w:t xml:space="preserve">Competitive Positioning</w:t>
      </w:r>
    </w:p>
    <w:p>
      <w:pPr>
        <w:pStyle w:val="FirstParagraph"/>
      </w:pPr>
      <w:r>
        <w:t xml:space="preserve">Unlike generic recruitment campaigns, this Marketing Plan positions the Laboratory Technician role as central to Birmingham’s scientific identity. Key differentiators include:</w:t>
      </w:r>
    </w:p>
    <w:p>
      <w:pPr>
        <w:numPr>
          <w:ilvl w:val="0"/>
          <w:numId w:val="1002"/>
        </w:numPr>
        <w:pStyle w:val="Compact"/>
      </w:pPr>
      <w:r>
        <w:rPr>
          <w:bCs/>
          <w:b/>
        </w:rPr>
        <w:t xml:space="preserve">Location Advantage</w:t>
      </w:r>
      <w:r>
        <w:t xml:space="preserve">: "Live in Birmingham, Work in Healthcare: Save 27% on living costs vs. London while earning competitive wages."</w:t>
      </w:r>
    </w:p>
    <w:p>
      <w:pPr>
        <w:numPr>
          <w:ilvl w:val="0"/>
          <w:numId w:val="1002"/>
        </w:numPr>
        <w:pStyle w:val="Compact"/>
      </w:pPr>
      <w:r>
        <w:rPr>
          <w:bCs/>
          <w:b/>
        </w:rPr>
        <w:t xml:space="preserve">Training Investment</w:t>
      </w:r>
      <w:r>
        <w:t xml:space="preserve">: Free access to BTEC Level 4 laboratory accreditation via Birmingham City Council partnerships.</w:t>
      </w:r>
    </w:p>
    <w:p>
      <w:pPr>
        <w:numPr>
          <w:ilvl w:val="0"/>
          <w:numId w:val="1002"/>
        </w:numPr>
        <w:pStyle w:val="Compact"/>
      </w:pPr>
      <w:r>
        <w:rPr>
          <w:bCs/>
          <w:b/>
        </w:rPr>
        <w:t xml:space="preserve">Community Impact</w:t>
      </w:r>
      <w:r>
        <w:t xml:space="preserve">: "Be the hands-on expert in Birmingham’s NHS vaccine rollout and cancer research initiatives."</w:t>
      </w:r>
    </w:p>
    <w:bookmarkEnd w:id="23"/>
    <w:bookmarkStart w:id="27" w:name="X556c9ff7dd54b7be4a1dee603afb46eae5e1ef1"/>
    <w:p>
      <w:pPr>
        <w:pStyle w:val="Heading2"/>
      </w:pPr>
      <w:r>
        <w:t xml:space="preserve">Marketing Tactics &amp; Implementation Timeline</w:t>
      </w:r>
    </w:p>
    <w:p>
      <w:pPr>
        <w:pStyle w:val="FirstParagraph"/>
      </w:pPr>
      <w:r>
        <w:t xml:space="preserve">A multi-channel approach will dominate United Kingdom Birmingham recruitment efforts over 18 months:</w:t>
      </w:r>
    </w:p>
    <w:bookmarkStart w:id="24" w:name="phase-1-awareness-months-1-3"/>
    <w:p>
      <w:pPr>
        <w:pStyle w:val="Heading3"/>
      </w:pPr>
      <w:r>
        <w:t xml:space="preserve">Phase 1: Awareness (Months 1-3)</w:t>
      </w:r>
    </w:p>
    <w:p>
      <w:pPr>
        <w:numPr>
          <w:ilvl w:val="0"/>
          <w:numId w:val="1003"/>
        </w:numPr>
        <w:pStyle w:val="Compact"/>
      </w:pPr>
      <w:r>
        <w:rPr>
          <w:bCs/>
          <w:b/>
        </w:rPr>
        <w:t xml:space="preserve">University Partnerships</w:t>
      </w:r>
      <w:r>
        <w:t xml:space="preserve">: Co-host "Lab Technician Career Days" at Aston University and University of Birmingham, featuring NHS Birmingham representatives. Target: 500+ student engagements.</w:t>
      </w:r>
    </w:p>
    <w:p>
      <w:pPr>
        <w:numPr>
          <w:ilvl w:val="0"/>
          <w:numId w:val="1003"/>
        </w:numPr>
        <w:pStyle w:val="Compact"/>
      </w:pPr>
      <w:r>
        <w:rPr>
          <w:bCs/>
          <w:b/>
        </w:rPr>
        <w:t xml:space="preserve">Hyperlocal Social Media</w:t>
      </w:r>
      <w:r>
        <w:t xml:space="preserve">: Geo-targeted Facebook/Instagram ads showcasing "A Day in the Life" videos filmed at Birmingham Royal Hospital labs. Budget: £4,800 monthly.</w:t>
      </w:r>
    </w:p>
    <w:p>
      <w:pPr>
        <w:numPr>
          <w:ilvl w:val="0"/>
          <w:numId w:val="1003"/>
        </w:numPr>
        <w:pStyle w:val="Compact"/>
      </w:pPr>
      <w:r>
        <w:rPr>
          <w:bCs/>
          <w:b/>
        </w:rPr>
        <w:t xml:space="preserve">NHS Network Amplification</w:t>
      </w:r>
      <w:r>
        <w:t xml:space="preserve">: Leverage NHS England’s Birmingham communications channels to promote internal mobility opportunities for existing staff.</w:t>
      </w:r>
    </w:p>
    <w:bookmarkEnd w:id="24"/>
    <w:bookmarkStart w:id="25" w:name="phase-2-engagement-months-4-10"/>
    <w:p>
      <w:pPr>
        <w:pStyle w:val="Heading3"/>
      </w:pPr>
      <w:r>
        <w:t xml:space="preserve">Phase 2: Engagement (Months 4-10)</w:t>
      </w:r>
    </w:p>
    <w:p>
      <w:pPr>
        <w:numPr>
          <w:ilvl w:val="0"/>
          <w:numId w:val="1004"/>
        </w:numPr>
        <w:pStyle w:val="Compact"/>
      </w:pPr>
      <w:r>
        <w:rPr>
          <w:bCs/>
          <w:b/>
        </w:rPr>
        <w:t xml:space="preserve">Community Events</w:t>
      </w:r>
      <w:r>
        <w:t xml:space="preserve">: Sponsor "Science &amp; Careers Fest" at Birmingham Science Museum, offering live lab technician skill demonstrations. Aligns with Birmingham’s £70m STEM investment.</w:t>
      </w:r>
    </w:p>
    <w:p>
      <w:pPr>
        <w:numPr>
          <w:ilvl w:val="0"/>
          <w:numId w:val="1004"/>
        </w:numPr>
        <w:pStyle w:val="Compact"/>
      </w:pPr>
      <w:r>
        <w:rPr>
          <w:bCs/>
          <w:b/>
        </w:rPr>
        <w:t xml:space="preserve">Referral Program</w:t>
      </w:r>
      <w:r>
        <w:t xml:space="preserve">: "Refer a Technician, Earn £500 + Extra Leave" for current Birmingham staff—tapping into established professional networks.</w:t>
      </w:r>
    </w:p>
    <w:p>
      <w:pPr>
        <w:numPr>
          <w:ilvl w:val="0"/>
          <w:numId w:val="1004"/>
        </w:numPr>
        <w:pStyle w:val="Compact"/>
      </w:pPr>
      <w:r>
        <w:rPr>
          <w:bCs/>
          <w:b/>
        </w:rPr>
        <w:t xml:space="preserve">Employer Branding</w:t>
      </w:r>
      <w:r>
        <w:t xml:space="preserve">: Develop "Birmingham Lab Tech Stories" podcast featuring local technicians (e.g., Dr. Aisha Khan at University of Birmingham’s Centre for Biomedical Research).</w:t>
      </w:r>
    </w:p>
    <w:bookmarkEnd w:id="25"/>
    <w:bookmarkStart w:id="26" w:name="phase-3-conversion-months-11-18"/>
    <w:p>
      <w:pPr>
        <w:pStyle w:val="Heading3"/>
      </w:pPr>
      <w:r>
        <w:t xml:space="preserve">Phase 3: Conversion (Months 11-18)</w:t>
      </w:r>
    </w:p>
    <w:p>
      <w:pPr>
        <w:numPr>
          <w:ilvl w:val="0"/>
          <w:numId w:val="1005"/>
        </w:numPr>
        <w:pStyle w:val="Compact"/>
      </w:pPr>
      <w:r>
        <w:rPr>
          <w:bCs/>
          <w:b/>
        </w:rPr>
        <w:t xml:space="preserve">Targeted Webinars</w:t>
      </w:r>
      <w:r>
        <w:t xml:space="preserve">: Monthly virtual sessions on "Lab Technician Salary Trends in United Kingdom Birmingham" with City Hospital HR directors.</w:t>
      </w:r>
    </w:p>
    <w:p>
      <w:pPr>
        <w:numPr>
          <w:ilvl w:val="0"/>
          <w:numId w:val="1005"/>
        </w:numPr>
        <w:pStyle w:val="Compact"/>
      </w:pPr>
      <w:r>
        <w:rPr>
          <w:bCs/>
          <w:b/>
        </w:rPr>
        <w:t xml:space="preserve">Career Pathway Brochures</w:t>
      </w:r>
      <w:r>
        <w:t xml:space="preserve">: Physical distribution at Birmingham Libraries and NHS hubs, highlighting progression to Laboratory Manager roles (average salary: £52k).</w:t>
      </w:r>
    </w:p>
    <w:p>
      <w:pPr>
        <w:numPr>
          <w:ilvl w:val="0"/>
          <w:numId w:val="1005"/>
        </w:numPr>
        <w:pStyle w:val="Compact"/>
      </w:pPr>
      <w:r>
        <w:rPr>
          <w:bCs/>
          <w:b/>
        </w:rPr>
        <w:t xml:space="preserve">Retention Focus</w:t>
      </w:r>
      <w:r>
        <w:t xml:space="preserve">: Post-hire "Birmingham Lab Technician Wellbeing" program including subsidized gym memberships at local clubs.</w:t>
      </w:r>
    </w:p>
    <w:bookmarkEnd w:id="26"/>
    <w:bookmarkEnd w:id="27"/>
    <w:bookmarkStart w:id="28" w:name="budget-allocation-total-68500"/>
    <w:p>
      <w:pPr>
        <w:pStyle w:val="Heading2"/>
      </w:pPr>
      <w:r>
        <w:t xml:space="preserve">Budget Allocation (Total: £68,500)</w:t>
      </w:r>
    </w:p>
    <w:p>
      <w:pPr>
        <w:pStyle w:val="FirstParagraph"/>
      </w:pPr>
      <w:r>
        <w:t xml:space="preserve">Activity</w:t>
      </w:r>
    </w:p>
    <w:p>
      <w:pPr>
        <w:pStyle w:val="BodyText"/>
      </w:pPr>
      <w:r>
        <w:t xml:space="preserve">Cost</w:t>
      </w:r>
    </w:p>
    <w:p>
      <w:pPr>
        <w:pStyle w:val="BodyText"/>
      </w:pPr>
      <w:r>
        <w:t xml:space="preserve">University Partnerships &amp; Events</w:t>
      </w:r>
    </w:p>
    <w:p>
      <w:pPr>
        <w:pStyle w:val="BodyText"/>
      </w:pPr>
      <w:r>
        <w:t xml:space="preserve">£24,300</w:t>
      </w:r>
    </w:p>
    <w:p>
      <w:pPr>
        <w:pStyle w:val="BodyText"/>
      </w:pPr>
      <w:r>
        <w:t xml:space="preserve">Social Media Advertising (Geo-targeted)</w:t>
      </w:r>
    </w:p>
    <w:p>
      <w:pPr>
        <w:pStyle w:val="BodyText"/>
      </w:pPr>
      <w:r>
        <w:t xml:space="preserve">£18,600</w:t>
      </w:r>
    </w:p>
    <w:p>
      <w:pPr>
        <w:pStyle w:val="BodyText"/>
      </w:pPr>
      <w:r>
        <w:t xml:space="preserve">Promotional Materials (Brochures, Podcasts)</w:t>
      </w:r>
    </w:p>
    <w:p>
      <w:pPr>
        <w:pStyle w:val="BodyText"/>
      </w:pPr>
      <w:r>
        <w:t xml:space="preserve">£12,450</w:t>
      </w:r>
    </w:p>
    <w:p>
      <w:pPr>
        <w:pStyle w:val="BodyText"/>
      </w:pPr>
      <w:r>
        <w:t xml:space="preserve">Community Event Sponsorship</w:t>
      </w:r>
    </w:p>
    <w:p>
      <w:pPr>
        <w:pStyle w:val="BodyText"/>
      </w:pPr>
      <w:r>
        <w:t xml:space="preserve">£9,750</w:t>
      </w:r>
    </w:p>
    <w:bookmarkEnd w:id="28"/>
    <w:bookmarkStart w:id="29" w:name="kpis-measurement"/>
    <w:p>
      <w:pPr>
        <w:pStyle w:val="Heading2"/>
      </w:pPr>
      <w:r>
        <w:t xml:space="preserve">KPIs &amp; Measurement</w:t>
      </w:r>
    </w:p>
    <w:p>
      <w:pPr>
        <w:pStyle w:val="FirstParagraph"/>
      </w:pPr>
      <w:r>
        <w:t xml:space="preserve">We will track success through Birmingham-specific metrics:</w:t>
      </w:r>
    </w:p>
    <w:p>
      <w:pPr>
        <w:numPr>
          <w:ilvl w:val="0"/>
          <w:numId w:val="1006"/>
        </w:numPr>
        <w:pStyle w:val="Compact"/>
      </w:pPr>
      <w:r>
        <w:rPr>
          <w:bCs/>
          <w:b/>
        </w:rPr>
        <w:t xml:space="preserve">Quality of Hire (Primary)</w:t>
      </w:r>
      <w:r>
        <w:t xml:space="preserve">: % of recruits passing competency assessments within 6 months (Target: 95%+).</w:t>
      </w:r>
    </w:p>
    <w:p>
      <w:pPr>
        <w:numPr>
          <w:ilvl w:val="0"/>
          <w:numId w:val="1006"/>
        </w:numPr>
        <w:pStyle w:val="Compact"/>
      </w:pPr>
      <w:r>
        <w:rPr>
          <w:bCs/>
          <w:b/>
        </w:rPr>
        <w:t xml:space="preserve">Time-to-Fill</w:t>
      </w:r>
      <w:r>
        <w:t xml:space="preserve">: Reduce from current 42 days to ≤28 days by Month 10.</w:t>
      </w:r>
    </w:p>
    <w:p>
      <w:pPr>
        <w:numPr>
          <w:ilvl w:val="0"/>
          <w:numId w:val="1006"/>
        </w:numPr>
        <w:pStyle w:val="Compact"/>
      </w:pPr>
      <w:r>
        <w:rPr>
          <w:bCs/>
          <w:b/>
        </w:rPr>
        <w:t xml:space="preserve">Local Sourcing Rate</w:t>
      </w:r>
      <w:r>
        <w:t xml:space="preserve">: Achieve 70% of hires sourced from Birmingham or within a 30-mile radius (vs. current 45%).</w:t>
      </w:r>
    </w:p>
    <w:bookmarkEnd w:id="29"/>
    <w:bookmarkStart w:id="30" w:name="X51eae0aad7e8571a662b57aaeb028975157ba06"/>
    <w:p>
      <w:pPr>
        <w:pStyle w:val="Heading2"/>
      </w:pPr>
      <w:r>
        <w:t xml:space="preserve">Conclusion: Securing Birmingham's Scientific Future</w:t>
      </w:r>
    </w:p>
    <w:p>
      <w:pPr>
        <w:pStyle w:val="FirstParagraph"/>
      </w:pPr>
      <w:r>
        <w:t xml:space="preserve">This Marketing Plan transforms the Laboratory Technician role into a cornerstone of United Kingdom Birmingham’s healthcare evolution. By embedding recruitment within local institutions—universities, NHS networks, and community hubs—we create sustainable pipelines that meet the city’s projected 15% growth in laboratory services by 2027 (Birmingham Health Strategy 2030). Every campaign element reinforces "Birmingham as the UK’s Laboratory Technician Growth Engine," ensuring candidates see this role not just as a job, but as a career anchor in one of Europe’s fastest-growing science economies. The United Kingdom Birmingham market demands talent that understands local context; this plan delivers precisely that, positioning our organisation at the forefront of Birmingham’s biomedical renaissance.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Role - United Kingdom Birmingham</dc:title>
  <dc:creator/>
  <dc:language>en</dc:language>
  <cp:keywords/>
  <dcterms:created xsi:type="dcterms:W3CDTF">2026-07-21T03:22:43Z</dcterms:created>
  <dcterms:modified xsi:type="dcterms:W3CDTF">2026-07-21T03:22:43Z</dcterms:modified>
</cp:coreProperties>
</file>

<file path=docProps/custom.xml><?xml version="1.0" encoding="utf-8"?>
<Properties xmlns="http://schemas.openxmlformats.org/officeDocument/2006/custom-properties" xmlns:vt="http://schemas.openxmlformats.org/officeDocument/2006/docPropsVTypes"/>
</file>