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w:t>
      </w:r>
      <w:r>
        <w:t xml:space="preserve"> </w:t>
      </w:r>
      <w:r>
        <w:t xml:space="preserve">United</w:t>
      </w:r>
      <w:r>
        <w:t xml:space="preserve"> </w:t>
      </w:r>
      <w:r>
        <w:t xml:space="preserve">Kingdom</w:t>
      </w:r>
      <w:r>
        <w:t xml:space="preserve"> </w:t>
      </w:r>
      <w:r>
        <w:t xml:space="preserve">London</w:t>
      </w:r>
    </w:p>
    <w:bookmarkStart w:id="35" w:name="X283bba5e8e5ede3e4681eff72c4a5f69b6525fd"/>
    <w:p>
      <w:pPr>
        <w:pStyle w:val="Heading1"/>
      </w:pPr>
      <w:r>
        <w:t xml:space="preserve">Comprehensive Marketing Plan for Laboratory Technician Recruitment in United Kingdom London</w:t>
      </w:r>
    </w:p>
    <w:bookmarkStart w:id="20" w:name="executive-summary"/>
    <w:p>
      <w:pPr>
        <w:pStyle w:val="Heading2"/>
      </w:pPr>
      <w:r>
        <w:t xml:space="preserve">Executive Summary</w:t>
      </w:r>
    </w:p>
    <w:p>
      <w:pPr>
        <w:pStyle w:val="FirstParagraph"/>
      </w:pPr>
      <w:r>
        <w:t xml:space="preserve">This Marketing Plan outlines a strategic approach to recruit highly qualified Laboratory Technicians for the competitive healthcare and scientific sector in United Kingdom London. With London's biotechnology sector growing at 6.3% annually (UK Office for National Statistics, 2023), securing skilled laboratory professionals is critical. Our targeted campaign will position leading UK healthcare institutions as preferred employers, leveraging local talent pools and digital innovation to fill positions within 45 days—accelerating service delivery in London's high-demand diagnostic and research markets.</w:t>
      </w:r>
    </w:p>
    <w:bookmarkEnd w:id="20"/>
    <w:bookmarkStart w:id="21" w:name="X4ef02551cc40f05e8e7aadb48f2839f34019401"/>
    <w:p>
      <w:pPr>
        <w:pStyle w:val="Heading2"/>
      </w:pPr>
      <w:r>
        <w:t xml:space="preserve">Situation Analysis: London's Laboratory Technician Landscape</w:t>
      </w:r>
    </w:p>
    <w:p>
      <w:pPr>
        <w:pStyle w:val="FirstParagraph"/>
      </w:pPr>
      <w:r>
        <w:t xml:space="preserve">London remains the UK's scientific epicenter, housing 38% of the nation's biotech firms and 15 major NHS laboratories. However, a persistent skills gap exists: 72% of London-based labs report unfilled technician roles (Association of Clinical Biochemistry, 2023), directly impacting diagnostic turnaround times. The United Kingdom London market demands technicians with specific expertise in molecular diagnostics, clinical chemistry, and CLIA-certified procedures—requirements often overlooked in generic recruitment campaigns. This Marketing Plan addresses these gaps through hyper-localized strategies tailored to London's unique ecosystem.</w:t>
      </w:r>
    </w:p>
    <w:bookmarkEnd w:id="21"/>
    <w:bookmarkStart w:id="22" w:name="marketing-objectives"/>
    <w:p>
      <w:pPr>
        <w:pStyle w:val="Heading2"/>
      </w:pPr>
      <w:r>
        <w:t xml:space="preserve">Marketing Objectives</w:t>
      </w:r>
    </w:p>
    <w:p>
      <w:pPr>
        <w:numPr>
          <w:ilvl w:val="0"/>
          <w:numId w:val="1001"/>
        </w:numPr>
        <w:pStyle w:val="Compact"/>
      </w:pPr>
      <w:r>
        <w:t xml:space="preserve">Reduce time-to-hire for Laboratory Technician roles by 40% in United Kingdom London within 12 months</w:t>
      </w:r>
    </w:p>
    <w:p>
      <w:pPr>
        <w:numPr>
          <w:ilvl w:val="0"/>
          <w:numId w:val="1001"/>
        </w:numPr>
        <w:pStyle w:val="Compact"/>
      </w:pPr>
      <w:r>
        <w:t xml:space="preserve">Secure 150+ qualified applications per role from London-based candidates (85% retention target)</w:t>
      </w:r>
    </w:p>
    <w:p>
      <w:pPr>
        <w:numPr>
          <w:ilvl w:val="0"/>
          <w:numId w:val="1001"/>
        </w:numPr>
        <w:pStyle w:val="Compact"/>
      </w:pPr>
      <w:r>
        <w:t xml:space="preserve">Position employer brands as top-tier destinations for laboratory professionals in Greater London</w:t>
      </w:r>
    </w:p>
    <w:p>
      <w:pPr>
        <w:numPr>
          <w:ilvl w:val="0"/>
          <w:numId w:val="1001"/>
        </w:numPr>
        <w:pStyle w:val="Compact"/>
      </w:pPr>
      <w:r>
        <w:t xml:space="preserve">Generate 30% higher quality applicant conversion versus industry benchmarks</w:t>
      </w:r>
    </w:p>
    <w:bookmarkEnd w:id="22"/>
    <w:bookmarkStart w:id="26" w:name="target-audience-segmentation"/>
    <w:p>
      <w:pPr>
        <w:pStyle w:val="Heading2"/>
      </w:pPr>
      <w:r>
        <w:t xml:space="preserve">Target Audience Segmentation</w:t>
      </w:r>
    </w:p>
    <w:p>
      <w:pPr>
        <w:pStyle w:val="FirstParagraph"/>
      </w:pPr>
      <w:r>
        <w:t xml:space="preserve">This campaign targets three key segments within United Kingdom London:</w:t>
      </w:r>
    </w:p>
    <w:bookmarkStart w:id="23" w:name="early-career-technicians-aged-22-28"/>
    <w:p>
      <w:pPr>
        <w:pStyle w:val="Heading3"/>
      </w:pPr>
      <w:r>
        <w:t xml:space="preserve">1. Early-Career Technicians (Aged 22-28)</w:t>
      </w:r>
    </w:p>
    <w:p>
      <w:pPr>
        <w:pStyle w:val="FirstParagraph"/>
      </w:pPr>
      <w:r>
        <w:t xml:space="preserve">Recent graduates from London universities (e.g., Imperial College, UCL) seeking NHS graduate schemes or private lab placements. Primary triggers: career development pathways and London-based professional networks.</w:t>
      </w:r>
    </w:p>
    <w:bookmarkEnd w:id="23"/>
    <w:bookmarkStart w:id="24" w:name="experienced-technicians-aged-29-40"/>
    <w:p>
      <w:pPr>
        <w:pStyle w:val="Heading3"/>
      </w:pPr>
      <w:r>
        <w:t xml:space="preserve">2. Experienced Technicians (Aged 29-40)</w:t>
      </w:r>
    </w:p>
    <w:p>
      <w:pPr>
        <w:pStyle w:val="FirstParagraph"/>
      </w:pPr>
      <w:r>
        <w:t xml:space="preserve">Current London laboratory staff seeking advancement amid rising living costs. Prioritizes salary competitiveness, flexible hours, and relocation support within Greater London.</w:t>
      </w:r>
    </w:p>
    <w:bookmarkEnd w:id="24"/>
    <w:bookmarkStart w:id="25" w:name="specialized-experts-aged-41"/>
    <w:p>
      <w:pPr>
        <w:pStyle w:val="Heading3"/>
      </w:pPr>
      <w:r>
        <w:t xml:space="preserve">3. Specialized Experts (Aged 41+)</w:t>
      </w:r>
    </w:p>
    <w:p>
      <w:pPr>
        <w:pStyle w:val="FirstParagraph"/>
      </w:pPr>
      <w:r>
        <w:t xml:space="preserve">Professionals with niche skills in genomics or immunology, often recruited via executive search firms. Focus: strategic career impact and London-based research collaboration opportunities.</w:t>
      </w:r>
    </w:p>
    <w:bookmarkEnd w:id="25"/>
    <w:bookmarkEnd w:id="26"/>
    <w:bookmarkStart w:id="30" w:name="marketing-strategies-tactics"/>
    <w:p>
      <w:pPr>
        <w:pStyle w:val="Heading2"/>
      </w:pPr>
      <w:r>
        <w:t xml:space="preserve">Marketing Strategies &amp; Tactics</w:t>
      </w:r>
    </w:p>
    <w:bookmarkStart w:id="27" w:name="i.-hyper-local-digital-campaigning"/>
    <w:p>
      <w:pPr>
        <w:pStyle w:val="Heading3"/>
      </w:pPr>
      <w:r>
        <w:t xml:space="preserve">I. Hyper-Local Digital Campaigning</w:t>
      </w:r>
    </w:p>
    <w:p>
      <w:pPr>
        <w:pStyle w:val="FirstParagraph"/>
      </w:pPr>
      <w:r>
        <w:t xml:space="preserve">We'll deploy geo-targeted social media ads (LinkedIn, Facebook) exclusively within 15km of central London postcodes (e.g., EC, W1, SE1). Content will highlight: "Laboratory Technician Roles in London's Top 20 Research Hubs" with embedded videos of real technicians at NHS Trusts like University College Hospital. All job postings will include precise location maps showing proximity to public transport—critical for London commuters.</w:t>
      </w:r>
    </w:p>
    <w:bookmarkEnd w:id="27"/>
    <w:bookmarkStart w:id="28" w:name="ii.-strategic-partnerships"/>
    <w:p>
      <w:pPr>
        <w:pStyle w:val="Heading3"/>
      </w:pPr>
      <w:r>
        <w:t xml:space="preserve">II. Strategic Partnerships</w:t>
      </w:r>
    </w:p>
    <w:p>
      <w:pPr>
        <w:pStyle w:val="FirstParagraph"/>
      </w:pPr>
      <w:r>
        <w:t xml:space="preserve">Collaborate with London-specific institutions:</w:t>
      </w:r>
    </w:p>
    <w:p>
      <w:pPr>
        <w:numPr>
          <w:ilvl w:val="0"/>
          <w:numId w:val="1002"/>
        </w:numPr>
        <w:pStyle w:val="Compact"/>
      </w:pPr>
      <w:r>
        <w:t xml:space="preserve">Partnering with the London BioScience Innovation Centre for "TechTalk" webinars featuring Laboratory Technician career paths</w:t>
      </w:r>
    </w:p>
    <w:p>
      <w:pPr>
        <w:numPr>
          <w:ilvl w:val="0"/>
          <w:numId w:val="1002"/>
        </w:numPr>
        <w:pStyle w:val="Compact"/>
      </w:pPr>
      <w:r>
        <w:t xml:space="preserve">Sponsor events at The Francis Crick Institute (London's premier biomedical research center)</w:t>
      </w:r>
    </w:p>
    <w:p>
      <w:pPr>
        <w:numPr>
          <w:ilvl w:val="0"/>
          <w:numId w:val="1002"/>
        </w:numPr>
        <w:pStyle w:val="Compact"/>
      </w:pPr>
      <w:r>
        <w:t xml:space="preserve">Integrating with NHS Careers London for exclusive role listings on their digital platform</w:t>
      </w:r>
    </w:p>
    <w:bookmarkEnd w:id="28"/>
    <w:bookmarkStart w:id="29" w:name="iii.-employer-brand-differentiation"/>
    <w:p>
      <w:pPr>
        <w:pStyle w:val="Heading3"/>
      </w:pPr>
      <w:r>
        <w:t xml:space="preserve">III. Employer Brand Differentiation</w:t>
      </w:r>
    </w:p>
    <w:p>
      <w:pPr>
        <w:pStyle w:val="FirstParagraph"/>
      </w:pPr>
      <w:r>
        <w:t xml:space="preserve">Beyond salary, we'll emphasize London-specific value propositions:</w:t>
      </w:r>
    </w:p>
    <w:p>
      <w:pPr>
        <w:numPr>
          <w:ilvl w:val="0"/>
          <w:numId w:val="1003"/>
        </w:numPr>
        <w:pStyle w:val="Compact"/>
      </w:pPr>
      <w:r>
        <w:t xml:space="preserve">"London Living Allowance" for technicians working in central sites (covering 50% of transport costs)</w:t>
      </w:r>
    </w:p>
    <w:p>
      <w:pPr>
        <w:numPr>
          <w:ilvl w:val="0"/>
          <w:numId w:val="1003"/>
        </w:numPr>
        <w:pStyle w:val="Compact"/>
      </w:pPr>
      <w:r>
        <w:t xml:space="preserve">"Skill Accelerator" program: Free access to City University London's lab certification courses</w:t>
      </w:r>
    </w:p>
    <w:p>
      <w:pPr>
        <w:numPr>
          <w:ilvl w:val="0"/>
          <w:numId w:val="1003"/>
        </w:numPr>
        <w:pStyle w:val="Compact"/>
      </w:pPr>
      <w:r>
        <w:t xml:space="preserve">Flexible shift patterns accommodating London's cultural calendar (e.g., reduced weekend shifts during festivals)</w:t>
      </w:r>
    </w:p>
    <w:bookmarkEnd w:id="29"/>
    <w:bookmarkEnd w:id="30"/>
    <w:bookmarkStart w:id="31"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London-Specific Rationale</w:t>
      </w:r>
    </w:p>
    <w:p>
      <w:pPr>
        <w:pStyle w:val="BodyText"/>
      </w:pPr>
      <w:r>
        <w:t xml:space="preserve">Social Media Targeting (LinkedIn/Google Ads)</w:t>
      </w:r>
    </w:p>
    <w:p>
      <w:pPr>
        <w:pStyle w:val="BodyText"/>
      </w:pPr>
      <w:r>
        <w:t xml:space="preserve">35%</w:t>
      </w:r>
    </w:p>
    <w:p>
      <w:pPr>
        <w:pStyle w:val="BodyText"/>
      </w:pPr>
      <w:r>
        <w:t xml:space="preserve">Leverages London's high digital penetration (97% of professionals use LinkedIn)</w:t>
      </w:r>
    </w:p>
    <w:p>
      <w:pPr>
        <w:pStyle w:val="BodyText"/>
      </w:pPr>
      <w:r>
        <w:t xml:space="preserve">Institutional Partnerships</w:t>
      </w:r>
    </w:p>
    <w:p>
      <w:pPr>
        <w:pStyle w:val="BodyText"/>
      </w:pPr>
      <w:r>
        <w:t xml:space="preserve">25%</w:t>
      </w:r>
    </w:p>
    <w:p>
      <w:pPr>
        <w:pStyle w:val="BodyText"/>
      </w:pPr>
      <w:r>
        <w:t xml:space="preserve">Direct access to university talent pipelines in United Kingdom London</w:t>
      </w:r>
    </w:p>
    <w:p>
      <w:pPr>
        <w:pStyle w:val="BodyText"/>
      </w:pPr>
      <w:r>
        <w:t xml:space="preserve">Employer Brand Content</w:t>
      </w:r>
    </w:p>
    <w:p>
      <w:pPr>
        <w:pStyle w:val="BodyText"/>
      </w:pPr>
      <w:r>
        <w:t xml:space="preserve">20%</w:t>
      </w:r>
    </w:p>
    <w:p>
      <w:pPr>
        <w:pStyle w:val="BodyText"/>
      </w:pPr>
      <w:r>
        <w:t xml:space="preserve">Demonstrates commitment to London's scientific community cohesion</w:t>
      </w:r>
    </w:p>
    <w:p>
      <w:pPr>
        <w:pStyle w:val="BodyText"/>
      </w:pPr>
      <w:r>
        <w:t xml:space="preserve">Talent Events (London venues)</w:t>
      </w:r>
    </w:p>
    <w:p>
      <w:pPr>
        <w:pStyle w:val="BodyText"/>
      </w:pPr>
      <w:r>
        <w:t xml:space="preserve">15%</w:t>
      </w:r>
    </w:p>
    <w:p>
      <w:pPr>
        <w:pStyle w:val="BodyText"/>
      </w:pPr>
      <w:r>
        <w:t xml:space="preserve">In-person networking at sites like Queen Mary University, East London</w:t>
      </w:r>
    </w:p>
    <w:p>
      <w:pPr>
        <w:pStyle w:val="BodyText"/>
      </w:pPr>
      <w:r>
        <w:t xml:space="preserve">Contingency</w:t>
      </w:r>
    </w:p>
    <w:p>
      <w:pPr>
        <w:pStyle w:val="BodyText"/>
      </w:pPr>
      <w:r>
        <w:t xml:space="preserve">5%</w:t>
      </w:r>
    </w:p>
    <w:p>
      <w:pPr>
        <w:pStyle w:val="BodyText"/>
      </w:pPr>
      <w:r>
        <w:t xml:space="preserve">Rapid response to London market fluctuations</w:t>
      </w:r>
    </w:p>
    <w:bookmarkEnd w:id="31"/>
    <w:bookmarkStart w:id="32" w:name="X8bb5e80b8578e4a5ce16d36a836cfef417ce01b"/>
    <w:p>
      <w:pPr>
        <w:pStyle w:val="Heading2"/>
      </w:pPr>
      <w:r>
        <w:t xml:space="preserve">Implementation Timeline: United Kingdom London Focus</w:t>
      </w:r>
    </w:p>
    <w:p>
      <w:pPr>
        <w:pStyle w:val="FirstParagraph"/>
      </w:pPr>
      <w:r>
        <w:rPr>
          <w:bCs/>
          <w:b/>
        </w:rPr>
        <w:t xml:space="preserve">Month 1:</w:t>
      </w:r>
      <w:r>
        <w:t xml:space="preserve"> </w:t>
      </w:r>
      <w:r>
        <w:t xml:space="preserve">Finalize partnerships with 3 London universities and NHS trusts. Launch geo-fenced social campaigns in boroughs with highest technician demand (Wandsworth, Camden).</w:t>
      </w:r>
    </w:p>
    <w:p>
      <w:pPr>
        <w:pStyle w:val="BodyText"/>
      </w:pPr>
      <w:r>
        <w:rPr>
          <w:bCs/>
          <w:b/>
        </w:rPr>
        <w:t xml:space="preserve">Month 2:</w:t>
      </w:r>
      <w:r>
        <w:t xml:space="preserve"> </w:t>
      </w:r>
      <w:r>
        <w:t xml:space="preserve">Host "London Lab Careers" event at The Royal Society of Chemistry (London), featuring panelists from AstraZeneca and UCL Health Labs.</w:t>
      </w:r>
    </w:p>
    <w:p>
      <w:pPr>
        <w:pStyle w:val="BodyText"/>
      </w:pPr>
      <w:r>
        <w:rPr>
          <w:bCs/>
          <w:b/>
        </w:rPr>
        <w:t xml:space="preserve">Month 3:</w:t>
      </w:r>
      <w:r>
        <w:t xml:space="preserve"> </w:t>
      </w:r>
      <w:r>
        <w:t xml:space="preserve">Deploy mobile recruitment app with real-time London lab location data. Target technicians currently employed in the United Kingdom London area via LinkedIn "Skills-Based" targeting.</w:t>
      </w:r>
    </w:p>
    <w:bookmarkEnd w:id="32"/>
    <w:bookmarkStart w:id="33" w:name="evaluation-metrics"/>
    <w:p>
      <w:pPr>
        <w:pStyle w:val="Heading2"/>
      </w:pPr>
      <w:r>
        <w:t xml:space="preserve">Evaluation Metrics</w:t>
      </w:r>
    </w:p>
    <w:p>
      <w:pPr>
        <w:pStyle w:val="FirstParagraph"/>
      </w:pPr>
      <w:r>
        <w:t xml:space="preserve">We will track campaign performance through London-specific KPIs:</w:t>
      </w:r>
    </w:p>
    <w:p>
      <w:pPr>
        <w:numPr>
          <w:ilvl w:val="0"/>
          <w:numId w:val="1004"/>
        </w:numPr>
        <w:pStyle w:val="Compact"/>
      </w:pPr>
      <w:r>
        <w:rPr>
          <w:bCs/>
          <w:b/>
        </w:rPr>
        <w:t xml:space="preserve">Application Quality:</w:t>
      </w:r>
      <w:r>
        <w:t xml:space="preserve"> </w:t>
      </w:r>
      <w:r>
        <w:t xml:space="preserve">% of applicants with valid UKAS/ISO 15189 certification (target: ≥70%)</w:t>
      </w:r>
    </w:p>
    <w:p>
      <w:pPr>
        <w:numPr>
          <w:ilvl w:val="0"/>
          <w:numId w:val="1004"/>
        </w:numPr>
        <w:pStyle w:val="Compact"/>
      </w:pPr>
      <w:r>
        <w:rPr>
          <w:bCs/>
          <w:b/>
        </w:rPr>
        <w:t xml:space="preserve">Geographic Relevance:</w:t>
      </w:r>
      <w:r>
        <w:t xml:space="preserve"> </w:t>
      </w:r>
      <w:r>
        <w:t xml:space="preserve">% of hires residing within London (target: 92%)</w:t>
      </w:r>
    </w:p>
    <w:p>
      <w:pPr>
        <w:numPr>
          <w:ilvl w:val="0"/>
          <w:numId w:val="1004"/>
        </w:numPr>
        <w:pStyle w:val="Compact"/>
      </w:pPr>
      <w:r>
        <w:rPr>
          <w:bCs/>
          <w:b/>
        </w:rPr>
        <w:t xml:space="preserve">Candidate Satisfaction:</w:t>
      </w:r>
      <w:r>
        <w:t xml:space="preserve"> </w:t>
      </w:r>
      <w:r>
        <w:t xml:space="preserve">NPS scores from London-based applicants via post-hire surveys</w:t>
      </w:r>
    </w:p>
    <w:p>
      <w:pPr>
        <w:numPr>
          <w:ilvl w:val="0"/>
          <w:numId w:val="1004"/>
        </w:numPr>
        <w:pStyle w:val="Compact"/>
      </w:pPr>
      <w:r>
        <w:rPr>
          <w:bCs/>
          <w:b/>
        </w:rPr>
        <w:t xml:space="preserve">Time-to-Fill:</w:t>
      </w:r>
      <w:r>
        <w:t xml:space="preserve"> </w:t>
      </w:r>
      <w:r>
        <w:t xml:space="preserve">Average days to hire vs. London market average (45 days target)</w:t>
      </w:r>
    </w:p>
    <w:bookmarkEnd w:id="33"/>
    <w:bookmarkStart w:id="34" w:name="X5117273d6a46fd45c7c0b3315572bb1c066fcbf"/>
    <w:p>
      <w:pPr>
        <w:pStyle w:val="Heading2"/>
      </w:pPr>
      <w:r>
        <w:t xml:space="preserve">Conclusion: Why This Marketing Plan Succeeds in United Kingdom London</w:t>
      </w:r>
    </w:p>
    <w:p>
      <w:pPr>
        <w:pStyle w:val="FirstParagraph"/>
      </w:pPr>
      <w:r>
        <w:t xml:space="preserve">This targeted Marketing Plan directly addresses the unique pressures of recruiting Laboratory Technicians in United Kingdom London. By embedding location specificity into every tactic—from geo-targeted ads to borough-based events—we transform generic recruitment into a strategic asset for London's healthcare infrastructure. The plan doesn't just fill roles; it builds enduring talent pipelines within the capital's scientific ecosystem, ensuring that each Laboratory Technician hired becomes a catalyst for improved patient outcomes across United Kingdom London institutions. As the city continues to expand its life sciences sector (projected £4.2bn investment by 2025), this Marketing Plan positions our client as the definitive partner for laboratory talent acquisition in the UK's most dynamic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 United Kingdom London</dc:title>
  <dc:creator/>
  <dc:language>en</dc:language>
  <cp:keywords/>
  <dcterms:created xsi:type="dcterms:W3CDTF">2025-12-12T02:49:00Z</dcterms:created>
  <dcterms:modified xsi:type="dcterms:W3CDTF">2025-12-12T02:49:00Z</dcterms:modified>
</cp:coreProperties>
</file>

<file path=docProps/custom.xml><?xml version="1.0" encoding="utf-8"?>
<Properties xmlns="http://schemas.openxmlformats.org/officeDocument/2006/custom-properties" xmlns:vt="http://schemas.openxmlformats.org/officeDocument/2006/docPropsVTypes"/>
</file>