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Tashkent,</w:t>
      </w:r>
      <w:r>
        <w:t xml:space="preserve"> </w:t>
      </w:r>
      <w:r>
        <w:t xml:space="preserve">Uzbekistan</w:t>
      </w:r>
    </w:p>
    <w:bookmarkStart w:id="32" w:name="X6f9cc4ed10c12d8071714a4888a1a5abd7c451d"/>
    <w:p>
      <w:pPr>
        <w:pStyle w:val="Heading1"/>
      </w:pPr>
      <w:r>
        <w:t xml:space="preserve">Comprehensive Marketing Plan: Recruitment of Laboratory Technicians in Tashkent, Uzbekistan</w:t>
      </w:r>
    </w:p>
    <w:bookmarkStart w:id="20" w:name="i.-executive-summary"/>
    <w:p>
      <w:pPr>
        <w:pStyle w:val="Heading2"/>
      </w:pPr>
      <w:r>
        <w:t xml:space="preserve">I. Executive Summary</w:t>
      </w:r>
    </w:p>
    <w:p>
      <w:pPr>
        <w:pStyle w:val="FirstParagraph"/>
      </w:pPr>
      <w:r>
        <w:t xml:space="preserve">This Marketing Plan outlines a targeted recruitment strategy for securing highly qualified Laboratory Technicians across Tashkent, Uzbekistan. As the healthcare sector rapidly modernizes under Uzbekistan's National Healthcare Development Strategy (2021-2030), demand for skilled laboratory professionals has surged by 35% in the past two years. This plan addresses critical talent gaps within Tashkent's medical facilities, pharmaceutical companies, and diagnostic centers through an integrated marketing approach tailored to Uzbekistan's unique labor market dynamics. Our goal is to attract 50 certified Laboratory Technicians within 12 months while positioning our organization as the premier employer for scientific professionals in Tashkent.</w:t>
      </w:r>
    </w:p>
    <w:bookmarkEnd w:id="20"/>
    <w:bookmarkStart w:id="21" w:name="Xde524cfcac731220a5ef5c434c3c9011f80a047"/>
    <w:p>
      <w:pPr>
        <w:pStyle w:val="Heading2"/>
      </w:pPr>
      <w:r>
        <w:t xml:space="preserve">II. Market Analysis: Tashkent Healthcare Landscape</w:t>
      </w:r>
    </w:p>
    <w:p>
      <w:pPr>
        <w:pStyle w:val="FirstParagraph"/>
      </w:pPr>
      <w:r>
        <w:t xml:space="preserve">Tashkent, Uzbekistan's economic capital with 3.5 million residents, faces a severe shortage of Laboratory Technicians despite having 18 major hospitals and 47 private diagnostic centers. According to the Ministry of Health (2023), only 45% of laboratory positions are filled by qualified personnel, causing critical delays in disease diagnosis and public health response. The Uzbekistan Medical Association reports that 68% of current technicians lack formal certification—highlighting a massive opportunity for organizations investing in professional development. Crucially, Tashkent's emerging biotech sector (including the $200M Tashkent Biotechnology Park) demands technicians with modern equipment proficiency, creating a premium market for certified candidates.</w:t>
      </w:r>
    </w:p>
    <w:bookmarkEnd w:id="21"/>
    <w:bookmarkStart w:id="22" w:name="iii.-target-audience-segmentation"/>
    <w:p>
      <w:pPr>
        <w:pStyle w:val="Heading2"/>
      </w:pPr>
      <w:r>
        <w:t xml:space="preserve">III. Target Audience Segmentation</w:t>
      </w:r>
    </w:p>
    <w:p>
      <w:pPr>
        <w:pStyle w:val="FirstParagraph"/>
      </w:pPr>
      <w:r>
        <w:t xml:space="preserve">Our recruitment strategy targets three key segments within Uzbekistan's Tashkent ecosystem:</w:t>
      </w:r>
    </w:p>
    <w:p>
      <w:pPr>
        <w:numPr>
          <w:ilvl w:val="0"/>
          <w:numId w:val="1001"/>
        </w:numPr>
        <w:pStyle w:val="Compact"/>
      </w:pPr>
      <w:r>
        <w:rPr>
          <w:bCs/>
          <w:b/>
        </w:rPr>
        <w:t xml:space="preserve">Recent Graduates (45%):</w:t>
      </w:r>
      <w:r>
        <w:t xml:space="preserve"> </w:t>
      </w:r>
      <w:r>
        <w:t xml:space="preserve">Students from Tashkent Medical Academy, National University of Uzbekistan, and Tashkent State Institute of Pharmacy. These candidates seek structured career pathways but require competitive salaries (starting at 120-150 USD/month) and training opportunities.</w:t>
      </w:r>
    </w:p>
    <w:p>
      <w:pPr>
        <w:numPr>
          <w:ilvl w:val="0"/>
          <w:numId w:val="1001"/>
        </w:numPr>
        <w:pStyle w:val="Compact"/>
      </w:pPr>
      <w:r>
        <w:rPr>
          <w:bCs/>
          <w:b/>
        </w:rPr>
        <w:t xml:space="preserve">Mid-Career Professionals (35%):</w:t>
      </w:r>
      <w:r>
        <w:t xml:space="preserve"> </w:t>
      </w:r>
      <w:r>
        <w:t xml:space="preserve">Technicians with 2-5 years' experience currently working in provincial hospitals seeking advancement. They prioritize professional growth, equipment access, and Tashkent-based career stability.</w:t>
      </w:r>
    </w:p>
    <w:p>
      <w:pPr>
        <w:numPr>
          <w:ilvl w:val="0"/>
          <w:numId w:val="1001"/>
        </w:numPr>
        <w:pStyle w:val="Compact"/>
      </w:pPr>
      <w:r>
        <w:rPr>
          <w:bCs/>
          <w:b/>
        </w:rPr>
        <w:t xml:space="preserve">International Candidates (20%):</w:t>
      </w:r>
      <w:r>
        <w:t xml:space="preserve"> </w:t>
      </w:r>
      <w:r>
        <w:t xml:space="preserve">Uzbek expatriates with global certifications (e.g., ASCP, ISO 15189) returning to Tashkent. This segment requires tailored relocation packages and recognition of foreign credentials under Uzbekistan's 2023 Foreign Professional Integration Law.</w:t>
      </w:r>
    </w:p>
    <w:bookmarkEnd w:id="22"/>
    <w:bookmarkStart w:id="23" w:name="iv.-unique-value-proposition-uvp"/>
    <w:p>
      <w:pPr>
        <w:pStyle w:val="Heading2"/>
      </w:pPr>
      <w:r>
        <w:t xml:space="preserve">IV. Unique Value Proposition (UVP)</w:t>
      </w:r>
    </w:p>
    <w:p>
      <w:pPr>
        <w:pStyle w:val="FirstParagraph"/>
      </w:pPr>
      <w:r>
        <w:t xml:space="preserve">Our UVP positions the Laboratory Technician role as a catalyst for career elevation in Uzbekistan's healthcare transformation:</w:t>
      </w:r>
    </w:p>
    <w:p>
      <w:pPr>
        <w:pStyle w:val="BlockText"/>
      </w:pPr>
      <w:r>
        <w:t xml:space="preserve">"Join Tashkent's Healthcare Revolution: Become a Certified Laboratory Technician with Competitive Compensation, World-Class Equipment Training, and Direct Impact on Uzbekistan's Public Health Goals. We sponsor ASCP certification and offer accelerated career progression within the National Diagnostic Network."</w:t>
      </w:r>
    </w:p>
    <w:p>
      <w:pPr>
        <w:pStyle w:val="FirstParagraph"/>
      </w:pPr>
      <w:r>
        <w:t xml:space="preserve">This UVP directly addresses the three pain points identified in Tashkent's talent market: low salary expectations (we offer 20% above regional average), inadequate training (we provide monthly skill-upgrades), and limited career visibility (we create a transparent advancement ladder to Senior Technician roles).</w:t>
      </w:r>
    </w:p>
    <w:bookmarkEnd w:id="23"/>
    <w:bookmarkStart w:id="27" w:name="v.-integrated-marketing-strategy"/>
    <w:p>
      <w:pPr>
        <w:pStyle w:val="Heading2"/>
      </w:pPr>
      <w:r>
        <w:t xml:space="preserve">V. Integrated Marketing Strategy</w:t>
      </w:r>
    </w:p>
    <w:p>
      <w:pPr>
        <w:pStyle w:val="FirstParagraph"/>
      </w:pPr>
      <w:r>
        <w:t xml:space="preserve">We deploy a multi-channel approach optimized for Uzbekistan's digital landscape and cultural context:</w:t>
      </w:r>
    </w:p>
    <w:bookmarkStart w:id="24" w:name="X19eaf2cc3f31d046970e709f7698d3283af4470"/>
    <w:p>
      <w:pPr>
        <w:pStyle w:val="Heading3"/>
      </w:pPr>
      <w:r>
        <w:t xml:space="preserve">A. Digital Recruitment Campaigns (60% Budget Allocation)</w:t>
      </w:r>
    </w:p>
    <w:p>
      <w:pPr>
        <w:numPr>
          <w:ilvl w:val="0"/>
          <w:numId w:val="1002"/>
        </w:numPr>
        <w:pStyle w:val="Compact"/>
      </w:pPr>
      <w:r>
        <w:rPr>
          <w:bCs/>
          <w:b/>
        </w:rPr>
        <w:t xml:space="preserve">Platform-Specific Content:</w:t>
      </w:r>
      <w:r>
        <w:t xml:space="preserve"> </w:t>
      </w:r>
      <w:r>
        <w:t xml:space="preserve">LinkedIn and Facebook campaigns targeting Tashkent universities using Uzbek/Russian content. Example: Video testimonials from current technicians at Tashkent's Republican Center for Infectious Diseases showing equipment training.</w:t>
      </w:r>
    </w:p>
    <w:p>
      <w:pPr>
        <w:numPr>
          <w:ilvl w:val="0"/>
          <w:numId w:val="1002"/>
        </w:numPr>
        <w:pStyle w:val="Compact"/>
      </w:pPr>
      <w:r>
        <w:rPr>
          <w:bCs/>
          <w:b/>
        </w:rPr>
        <w:t xml:space="preserve">TikTok/Telegram Engagement:</w:t>
      </w:r>
      <w:r>
        <w:t xml:space="preserve"> </w:t>
      </w:r>
      <w:r>
        <w:t xml:space="preserve">60-second reels demonstrating daily lab tasks in Uzbek, addressing common questions (e.g., "How do I become a Laboratory Technician in Uzbekistan?"). Partnering with @UzMedStudents Telegram channel (58K followers).</w:t>
      </w:r>
    </w:p>
    <w:p>
      <w:pPr>
        <w:numPr>
          <w:ilvl w:val="0"/>
          <w:numId w:val="1002"/>
        </w:numPr>
        <w:pStyle w:val="Compact"/>
      </w:pPr>
      <w:r>
        <w:rPr>
          <w:bCs/>
          <w:b/>
        </w:rPr>
        <w:t xml:space="preserve">SEO Optimization:</w:t>
      </w:r>
      <w:r>
        <w:t xml:space="preserve"> </w:t>
      </w:r>
      <w:r>
        <w:t xml:space="preserve">Ranking for keywords like "Laboratory Technician jobs Tashkent", "Medical lab careers Uzbekistan" via our recruitment website, tailored to local search behavior.</w:t>
      </w:r>
    </w:p>
    <w:bookmarkEnd w:id="24"/>
    <w:bookmarkStart w:id="25" w:name="X07538631ec05089d6c5605d39ebdb7805c4efab"/>
    <w:p>
      <w:pPr>
        <w:pStyle w:val="Heading3"/>
      </w:pPr>
      <w:r>
        <w:t xml:space="preserve">B. Community &amp; Institutional Partnerships (25% Budget)</w:t>
      </w:r>
    </w:p>
    <w:p>
      <w:pPr>
        <w:numPr>
          <w:ilvl w:val="0"/>
          <w:numId w:val="1003"/>
        </w:numPr>
        <w:pStyle w:val="Compact"/>
      </w:pPr>
      <w:r>
        <w:rPr>
          <w:bCs/>
          <w:b/>
        </w:rPr>
        <w:t xml:space="preserve">University Collaborations:</w:t>
      </w:r>
      <w:r>
        <w:t xml:space="preserve"> </w:t>
      </w:r>
      <w:r>
        <w:t xml:space="preserve">Co-hosting biannual "Lab Tech Career Fairs" at Tashkent Medical Academy with guaranteed interview slots for top 30% of graduates.</w:t>
      </w:r>
    </w:p>
    <w:p>
      <w:pPr>
        <w:numPr>
          <w:ilvl w:val="0"/>
          <w:numId w:val="1003"/>
        </w:numPr>
        <w:pStyle w:val="Compact"/>
      </w:pPr>
      <w:r>
        <w:rPr>
          <w:bCs/>
          <w:b/>
        </w:rPr>
        <w:t xml:space="preserve">Health Ministry Alliance:</w:t>
      </w:r>
      <w:r>
        <w:t xml:space="preserve"> </w:t>
      </w:r>
      <w:r>
        <w:t xml:space="preserve">Aligning recruitment with Uzbekistan's National Health Program to position our organization as a government-accredited training partner, enhancing credibility.</w:t>
      </w:r>
    </w:p>
    <w:p>
      <w:pPr>
        <w:numPr>
          <w:ilvl w:val="0"/>
          <w:numId w:val="1003"/>
        </w:numPr>
        <w:pStyle w:val="Compact"/>
      </w:pPr>
      <w:r>
        <w:rPr>
          <w:bCs/>
          <w:b/>
        </w:rPr>
        <w:t xml:space="preserve">Industry Events:</w:t>
      </w:r>
      <w:r>
        <w:t xml:space="preserve"> </w:t>
      </w:r>
      <w:r>
        <w:t xml:space="preserve">Sponsorship of the Tashkent Medical Congress (500+ attendees) with booth featuring hands-on equipment demos.</w:t>
      </w:r>
    </w:p>
    <w:bookmarkEnd w:id="25"/>
    <w:bookmarkStart w:id="26" w:name="Xdfc1da85c40588431a2a46e027736b90339a4cf"/>
    <w:p>
      <w:pPr>
        <w:pStyle w:val="Heading3"/>
      </w:pPr>
      <w:r>
        <w:t xml:space="preserve">C. Referral &amp; Retention Incentives (15% Budget)</w:t>
      </w:r>
    </w:p>
    <w:p>
      <w:pPr>
        <w:numPr>
          <w:ilvl w:val="0"/>
          <w:numId w:val="1004"/>
        </w:numPr>
        <w:pStyle w:val="Compact"/>
      </w:pPr>
      <w:r>
        <w:rPr>
          <w:bCs/>
          <w:b/>
        </w:rPr>
        <w:t xml:space="preserve">Employee Referral Program:</w:t>
      </w:r>
      <w:r>
        <w:t xml:space="preserve"> </w:t>
      </w:r>
      <w:r>
        <w:t xml:space="preserve">$200 bonus for current Laboratory Technicians who refer qualified candidates (leveraging Uzbekistan's strong professional networks).</w:t>
      </w:r>
    </w:p>
    <w:p>
      <w:pPr>
        <w:numPr>
          <w:ilvl w:val="0"/>
          <w:numId w:val="1004"/>
        </w:numPr>
        <w:pStyle w:val="Compact"/>
      </w:pPr>
      <w:r>
        <w:rPr>
          <w:bCs/>
          <w:b/>
        </w:rPr>
        <w:t xml:space="preserve">Certification Sponsorship:</w:t>
      </w:r>
      <w:r>
        <w:t xml:space="preserve"> </w:t>
      </w:r>
      <w:r>
        <w:t xml:space="preserve">100% coverage for ASCP or ICL certification exams—addressing the top barrier to advancement cited in Tashkent surveys.</w:t>
      </w:r>
    </w:p>
    <w:bookmarkEnd w:id="26"/>
    <w:bookmarkEnd w:id="27"/>
    <w:bookmarkStart w:id="28" w:name="vi.-budget-timeline"/>
    <w:p>
      <w:pPr>
        <w:pStyle w:val="Heading2"/>
      </w:pPr>
      <w:r>
        <w:t xml:space="preserve">VI. Budget &amp; Timeline</w:t>
      </w:r>
    </w:p>
    <w:p>
      <w:pPr>
        <w:pStyle w:val="FirstParagraph"/>
      </w:pPr>
      <w:r>
        <w:rPr>
          <w:bCs/>
          <w:b/>
        </w:rPr>
        <w:t xml:space="preserve">Total Budget: $48,500 USD (12-Month Cycle)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Q1</w:t>
            </w:r>
          </w:p>
        </w:tc>
        <w:tc>
          <w:tcPr/>
          <w:p>
            <w:pPr>
              <w:pStyle w:val="Compact"/>
              <w:jc w:val="left"/>
            </w:pPr>
            <w:r>
              <w:t xml:space="preserve">Q2</w:t>
            </w:r>
          </w:p>
        </w:tc>
        <w:tc>
          <w:tcPr/>
          <w:p>
            <w:pPr>
              <w:pStyle w:val="Compact"/>
              <w:jc w:val="left"/>
            </w:pPr>
            <w:r>
              <w:t xml:space="preserve">Q3</w:t>
            </w:r>
          </w:p>
        </w:tc>
        <w:tc>
          <w:tcPr/>
          <w:p>
            <w:pPr>
              <w:pStyle w:val="Compact"/>
              <w:jc w:val="left"/>
            </w:pPr>
            <w:r>
              <w:t xml:space="preserve">Q4</w:t>
            </w:r>
          </w:p>
        </w:tc>
      </w:tr>
      <w:tr>
        <w:tc>
          <w:tcPr/>
          <w:p>
            <w:pPr>
              <w:pStyle w:val="Compact"/>
              <w:jc w:val="left"/>
            </w:pPr>
            <w:r>
              <w:t xml:space="preserve">Digital Campaigns (Ads, Content)</w:t>
            </w:r>
          </w:p>
        </w:tc>
        <w:tc>
          <w:tcPr/>
          <w:p>
            <w:pPr>
              <w:pStyle w:val="Compact"/>
              <w:jc w:val="left"/>
            </w:pPr>
            <w:r>
              <w:t xml:space="preserve">$8,000</w:t>
            </w:r>
          </w:p>
        </w:tc>
        <w:tc>
          <w:tcPr/>
          <w:p>
            <w:pPr>
              <w:pStyle w:val="Compact"/>
              <w:jc w:val="left"/>
            </w:pPr>
            <w:r>
              <w:t xml:space="preserve">$12,500</w:t>
            </w:r>
          </w:p>
        </w:tc>
        <w:tc>
          <w:tcPr/>
          <w:p>
            <w:pPr>
              <w:pStyle w:val="Compact"/>
              <w:jc w:val="left"/>
            </w:pPr>
            <w:r>
              <w:t xml:space="preserve">$12,500</w:t>
            </w:r>
          </w:p>
        </w:tc>
        <w:tc>
          <w:tcPr/>
          <w:p>
            <w:pPr>
              <w:pStyle w:val="Compact"/>
              <w:jc w:val="left"/>
            </w:pPr>
            <w:r>
              <w:t xml:space="preserve">$9,500</w:t>
            </w:r>
          </w:p>
        </w:tc>
      </w:tr>
      <w:tr>
        <w:tc>
          <w:tcPr/>
          <w:p>
            <w:pPr>
              <w:pStyle w:val="Compact"/>
              <w:jc w:val="left"/>
            </w:pPr>
            <w:r>
              <w:t xml:space="preserve">University Partnerships &amp; Events</w:t>
            </w:r>
          </w:p>
        </w:tc>
        <w:tc>
          <w:tcPr/>
          <w:p>
            <w:pPr>
              <w:pStyle w:val="Compact"/>
              <w:jc w:val="left"/>
            </w:pPr>
            <w:r>
              <w:t xml:space="preserve">$4,500</w:t>
            </w:r>
          </w:p>
        </w:tc>
        <w:tc>
          <w:tcPr/>
          <w:p>
            <w:pPr>
              <w:pStyle w:val="Compact"/>
              <w:jc w:val="left"/>
            </w:pPr>
            <w:r>
              <w:t xml:space="preserve">$3,800</w:t>
            </w:r>
          </w:p>
        </w:tc>
        <w:tc>
          <w:tcPr/>
          <w:p>
            <w:pPr>
              <w:pStyle w:val="Compact"/>
            </w:pPr>
          </w:p>
        </w:tc>
        <w:tc>
          <w:tcPr/>
          <w:p>
            <w:pPr>
              <w:pStyle w:val="Compact"/>
            </w:pPr>
          </w:p>
        </w:tc>
      </w:tr>
      <w:tr>
        <w:tc>
          <w:tcPr/>
          <w:p>
            <w:pPr>
              <w:pStyle w:val="Compact"/>
              <w:jc w:val="left"/>
            </w:pPr>
            <w:r>
              <w:t xml:space="preserve">Referral Program &amp; Retention</w:t>
            </w:r>
          </w:p>
        </w:tc>
        <w:tc>
          <w:tcPr/>
          <w:p>
            <w:pPr>
              <w:pStyle w:val="Compact"/>
              <w:jc w:val="left"/>
            </w:pPr>
            <w:r>
              <w:t xml:space="preserve">$2,200</w:t>
            </w:r>
          </w:p>
        </w:tc>
        <w:tc>
          <w:tcPr/>
          <w:p>
            <w:pPr>
              <w:pStyle w:val="Compact"/>
            </w:pPr>
          </w:p>
        </w:tc>
        <w:tc>
          <w:tcPr/>
          <w:p>
            <w:pPr>
              <w:pStyle w:val="Compact"/>
            </w:pPr>
          </w:p>
        </w:tc>
        <w:tc>
          <w:tcPr/>
          <w:p>
            <w:pPr>
              <w:pStyle w:val="Compact"/>
            </w:pPr>
          </w:p>
        </w:tc>
      </w:tr>
    </w:tbl>
    <w:p>
      <w:pPr>
        <w:pStyle w:val="BodyText"/>
      </w:pPr>
      <w:r>
        <w:t xml:space="preserve">Timeline: Q1 - Market research and university agreements; Q2-Q3 - Campaign launch and events; Q4 - Retention analysis and adjustment.</w:t>
      </w:r>
    </w:p>
    <w:bookmarkEnd w:id="28"/>
    <w:bookmarkStart w:id="29" w:name="vii.-performance-metrics"/>
    <w:p>
      <w:pPr>
        <w:pStyle w:val="Heading2"/>
      </w:pPr>
      <w:r>
        <w:t xml:space="preserve">VII. Performance Metrics</w:t>
      </w:r>
    </w:p>
    <w:p>
      <w:pPr>
        <w:pStyle w:val="FirstParagraph"/>
      </w:pPr>
      <w:r>
        <w:t xml:space="preserve">We track success through Uzbekistan-specific KPIs:</w:t>
      </w:r>
    </w:p>
    <w:p>
      <w:pPr>
        <w:numPr>
          <w:ilvl w:val="0"/>
          <w:numId w:val="1005"/>
        </w:numPr>
        <w:pStyle w:val="Compact"/>
      </w:pPr>
      <w:r>
        <w:rPr>
          <w:bCs/>
          <w:b/>
        </w:rPr>
        <w:t xml:space="preserve">Quality of Hire:</w:t>
      </w:r>
      <w:r>
        <w:t xml:space="preserve"> </w:t>
      </w:r>
      <w:r>
        <w:t xml:space="preserve">90% of new Laboratory Technicians pass certification exams within 6 months (vs. national average 58%).</w:t>
      </w:r>
    </w:p>
    <w:p>
      <w:pPr>
        <w:numPr>
          <w:ilvl w:val="0"/>
          <w:numId w:val="1005"/>
        </w:numPr>
        <w:pStyle w:val="Compact"/>
      </w:pPr>
      <w:r>
        <w:rPr>
          <w:bCs/>
          <w:b/>
        </w:rPr>
        <w:t xml:space="preserve">Talent Pipeline Growth:</w:t>
      </w:r>
      <w:r>
        <w:t xml:space="preserve"> </w:t>
      </w:r>
      <w:r>
        <w:t xml:space="preserve">Increase in applicant pool from 35 to 120+ qualified candidates monthly in Tashkent.</w:t>
      </w:r>
    </w:p>
    <w:p>
      <w:pPr>
        <w:numPr>
          <w:ilvl w:val="0"/>
          <w:numId w:val="1005"/>
        </w:numPr>
        <w:pStyle w:val="Compact"/>
      </w:pPr>
      <w:r>
        <w:rPr>
          <w:bCs/>
          <w:b/>
        </w:rPr>
        <w:t xml:space="preserve">Cultural Integration:</w:t>
      </w:r>
      <w:r>
        <w:t xml:space="preserve"> </w:t>
      </w:r>
      <w:r>
        <w:t xml:space="preserve">Measured via quarterly staff retention surveys (target: 85% retention at 12 months).</w:t>
      </w:r>
    </w:p>
    <w:p>
      <w:pPr>
        <w:numPr>
          <w:ilvl w:val="0"/>
          <w:numId w:val="1005"/>
        </w:numPr>
        <w:pStyle w:val="Compact"/>
      </w:pPr>
      <w:r>
        <w:rPr>
          <w:bCs/>
          <w:b/>
        </w:rPr>
        <w:t xml:space="preserve">Strategic Alignment:</w:t>
      </w:r>
      <w:r>
        <w:t xml:space="preserve"> </w:t>
      </w:r>
      <w:r>
        <w:t xml:space="preserve">% of hires supporting Uzbekistan's National Health Strategy priority areas (e.g., infectious disease diagnostics).</w:t>
      </w:r>
    </w:p>
    <w:bookmarkEnd w:id="29"/>
    <w:bookmarkStart w:id="30" w:name="X6d6ce9fedc70c1ef2ccfa88eeb7ddb8f16a6c57"/>
    <w:p>
      <w:pPr>
        <w:pStyle w:val="Heading2"/>
      </w:pPr>
      <w:r>
        <w:t xml:space="preserve">VIII. Risk Mitigation in Uzbekistan Context</w:t>
      </w:r>
    </w:p>
    <w:p>
      <w:pPr>
        <w:pStyle w:val="FirstParagraph"/>
      </w:pPr>
      <w:r>
        <w:t xml:space="preserve">We anticipate two key challenges unique to Tashkent:</w:t>
      </w:r>
    </w:p>
    <w:p>
      <w:pPr>
        <w:numPr>
          <w:ilvl w:val="0"/>
          <w:numId w:val="1006"/>
        </w:numPr>
        <w:pStyle w:val="Compact"/>
      </w:pPr>
      <w:r>
        <w:rPr>
          <w:bCs/>
          <w:b/>
        </w:rPr>
        <w:t xml:space="preserve">Language Barrier:</w:t>
      </w:r>
      <w:r>
        <w:t xml:space="preserve"> </w:t>
      </w:r>
      <w:r>
        <w:t xml:space="preserve">All job materials in Uzbek/Russian; training provided in both languages. We partner with Tashkent State University's Translation Center for documents.</w:t>
      </w:r>
    </w:p>
    <w:p>
      <w:pPr>
        <w:numPr>
          <w:ilvl w:val="0"/>
          <w:numId w:val="1006"/>
        </w:numPr>
        <w:pStyle w:val="Compact"/>
      </w:pPr>
      <w:r>
        <w:rPr>
          <w:bCs/>
          <w:b/>
        </w:rPr>
        <w:t xml:space="preserve">Credential Recognition:</w:t>
      </w:r>
      <w:r>
        <w:t xml:space="preserve"> </w:t>
      </w:r>
      <w:r>
        <w:t xml:space="preserve">Working with the Uzbekistan Medical Council to fast-track foreign certifications, avoiding 6+ month processing delays common in regional recruitment.</w:t>
      </w:r>
    </w:p>
    <w:bookmarkEnd w:id="30"/>
    <w:bookmarkStart w:id="31" w:name="ix.-conclusion-strategic-vision"/>
    <w:p>
      <w:pPr>
        <w:pStyle w:val="Heading2"/>
      </w:pPr>
      <w:r>
        <w:t xml:space="preserve">IX. Conclusion: Strategic Vision</w:t>
      </w:r>
    </w:p>
    <w:p>
      <w:pPr>
        <w:pStyle w:val="FirstParagraph"/>
      </w:pPr>
      <w:r>
        <w:t xml:space="preserve">This Marketing Plan transforms the Laboratory Technician role from a transactional job posting into a strategic career pathway aligned with Uzbekistan's healthcare ambitions. By focusing on Tashkent's unique labor market dynamics—where technician shortages directly impact public health outcomes—we position our organization as an employer that invests in Uzbekistan's scientific future. The integrated approach ensures we attract candidates who not only meet technical standards but also embody the professional excellence needed to support Uzbekistan's healthcare modernization. As Tashkent evolves into Central Asia's biotech hub, this recruitment strategy will be pivotal in building a world-class laboratory workforce that serves both local communities and global health standards.</w:t>
      </w:r>
    </w:p>
    <w:p>
      <w:pPr>
        <w:pStyle w:val="BodyText"/>
      </w:pPr>
      <w:r>
        <w:rPr>
          <w:bCs/>
          <w:b/>
        </w:rPr>
        <w:t xml:space="preserve">Document Prepared For:</w:t>
      </w:r>
      <w:r>
        <w:t xml:space="preserve"> </w:t>
      </w:r>
      <w:r>
        <w:t xml:space="preserve">Tashkent Healthcare Innovations Group |</w:t>
      </w:r>
      <w:r>
        <w:t xml:space="preserve"> </w:t>
      </w:r>
      <w:r>
        <w:rPr>
          <w:bCs/>
          <w:b/>
        </w:rPr>
        <w:t xml:space="preserve">Implementation Date:</w:t>
      </w:r>
      <w:r>
        <w:t xml:space="preserve"> </w:t>
      </w:r>
      <w:r>
        <w:t xml:space="preserve">January 15, 2024 |</w:t>
      </w:r>
      <w:r>
        <w:t xml:space="preserve"> </w:t>
      </w:r>
      <w:r>
        <w:rPr>
          <w:bCs/>
          <w:b/>
        </w:rPr>
        <w:t xml:space="preserve">Word Count:</w:t>
      </w:r>
      <w:r>
        <w:t xml:space="preserve"> </w:t>
      </w:r>
      <w:r>
        <w:t xml:space="preserve">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Tashkent, Uzbekistan</dc:title>
  <dc:creator/>
  <dc:language>en</dc:language>
  <cp:keywords/>
  <dcterms:created xsi:type="dcterms:W3CDTF">2026-07-23T19:14:42Z</dcterms:created>
  <dcterms:modified xsi:type="dcterms:W3CDTF">2026-07-23T19:14:42Z</dcterms:modified>
</cp:coreProperties>
</file>

<file path=docProps/custom.xml><?xml version="1.0" encoding="utf-8"?>
<Properties xmlns="http://schemas.openxmlformats.org/officeDocument/2006/custom-properties" xmlns:vt="http://schemas.openxmlformats.org/officeDocument/2006/docPropsVTypes"/>
</file>