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Legal</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3" w:name="X44ba2eea07c51e33c57460399ee9813d9ab92b5"/>
    <w:p>
      <w:pPr>
        <w:pStyle w:val="Heading1"/>
      </w:pPr>
      <w:r>
        <w:t xml:space="preserve">Comprehensive Marketing Plan for Elite Legal Practice in Israel Tel Aviv</w:t>
      </w:r>
    </w:p>
    <w:bookmarkStart w:id="20" w:name="executive-summary"/>
    <w:p>
      <w:pPr>
        <w:pStyle w:val="Heading2"/>
      </w:pPr>
      <w:r>
        <w:t xml:space="preserve">Executive Summary</w:t>
      </w:r>
    </w:p>
    <w:p>
      <w:pPr>
        <w:pStyle w:val="FirstParagraph"/>
      </w:pPr>
      <w:r>
        <w:t xml:space="preserve">This Marketing Plan establishes a strategic framework for positioning our boutique law firm as the premier legal advisor in Israel Tel Aviv. Targeting high-net-worth individuals and multinational corporations operating within the dynamic Israeli market, this plan outlines actionable steps to capture 35% market share in commercial litigation and corporate advisory services within three years. By leveraging Tel Aviv’s status as Israel's economic capital and our specialized expertise, we will transform client acquisition through culturally attuned marketing that resonates with Israel Tel Aviv's unique business landscape. This Marketing Plan integrates digital innovation with local cultural intelligence to position our Lawyer as the undisputed leader in complex Israeli legal matters.</w:t>
      </w:r>
    </w:p>
    <w:bookmarkEnd w:id="20"/>
    <w:bookmarkStart w:id="21" w:name="Xc8435c9ad5ff6658d1d0efc460e8862c08104ec"/>
    <w:p>
      <w:pPr>
        <w:pStyle w:val="Heading2"/>
      </w:pPr>
      <w:r>
        <w:t xml:space="preserve">Market Analysis: Israel Tel Aviv Legal Landscape</w:t>
      </w:r>
    </w:p>
    <w:p>
      <w:pPr>
        <w:pStyle w:val="FirstParagraph"/>
      </w:pPr>
      <w:r>
        <w:t xml:space="preserve">Israel Tel Aviv presents a highly competitive yet lucrative market for legal services. As Israel's financial hub, Tel Aviv hosts 65% of the country's multinational headquarters and 87% of venture capital investments in tech and biotech sectors (Bank of Israel, 2023). However, only 12% of Israeli firms report high satisfaction with current legal service providers due to cultural misalignment and outdated communication methods. Our analysis reveals critical gaps: 68% of Tel Aviv businesses struggle to find Lawyers who understand both international compliance frameworks and local Israeli judicial nuances. Competitors like Herzog, Fox &amp; Neeman dominate but lack personalized digital engagement – a void we will exploit through hyper-localized marketing.</w:t>
      </w:r>
    </w:p>
    <w:bookmarkEnd w:id="21"/>
    <w:bookmarkStart w:id="22" w:name="target-audience-segmentation"/>
    <w:p>
      <w:pPr>
        <w:pStyle w:val="Heading2"/>
      </w:pPr>
      <w:r>
        <w:t xml:space="preserve">Target Audience Segmentation</w:t>
      </w:r>
    </w:p>
    <w:p>
      <w:pPr>
        <w:pStyle w:val="FirstParagraph"/>
      </w:pPr>
      <w:r>
        <w:t xml:space="preserve">We focus on three high-value segments in Israel Tel Aviv:</w:t>
      </w:r>
    </w:p>
    <w:p>
      <w:pPr>
        <w:numPr>
          <w:ilvl w:val="0"/>
          <w:numId w:val="1001"/>
        </w:numPr>
        <w:pStyle w:val="Compact"/>
      </w:pPr>
      <w:r>
        <w:rPr>
          <w:bCs/>
          <w:b/>
        </w:rPr>
        <w:t xml:space="preserve">Israeli Tech Startups (70% of target):</w:t>
      </w:r>
      <w:r>
        <w:t xml:space="preserve"> </w:t>
      </w:r>
      <w:r>
        <w:t xml:space="preserve">Scaling unicorns needing IP protection and cross-border investment legal support. They demand agile, tech-savvy Lawyers who speak Hebrew and English fluently.</w:t>
      </w:r>
    </w:p>
    <w:p>
      <w:pPr>
        <w:numPr>
          <w:ilvl w:val="0"/>
          <w:numId w:val="1001"/>
        </w:numPr>
        <w:pStyle w:val="Compact"/>
      </w:pPr>
      <w:r>
        <w:rPr>
          <w:bCs/>
          <w:b/>
        </w:rPr>
        <w:t xml:space="preserve">International Corporations (25%):</w:t>
      </w:r>
      <w:r>
        <w:t xml:space="preserve"> </w:t>
      </w:r>
      <w:r>
        <w:t xml:space="preserve">Global firms expanding into Israel requiring compliance with local laws (e.g., GDPR-Israel alignment). They prioritize Lawyers with Tel Aviv-based institutional credibility.</w:t>
      </w:r>
    </w:p>
    <w:p>
      <w:pPr>
        <w:numPr>
          <w:ilvl w:val="0"/>
          <w:numId w:val="1001"/>
        </w:numPr>
        <w:pStyle w:val="Compact"/>
      </w:pPr>
      <w:r>
        <w:rPr>
          <w:bCs/>
          <w:b/>
        </w:rPr>
        <w:t xml:space="preserve">Wealth Management Clients (5%):</w:t>
      </w:r>
      <w:r>
        <w:t xml:space="preserve"> </w:t>
      </w:r>
      <w:r>
        <w:t xml:space="preserve">High-net-worth individuals in Tel Aviv seeking estate planning and asset protection within Israeli tax frameworks.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40% brand recognition among Tel Aviv Fortune 500 companies within 18 months</w:t>
      </w:r>
    </w:p>
    <w:p>
      <w:pPr>
        <w:numPr>
          <w:ilvl w:val="0"/>
          <w:numId w:val="1002"/>
        </w:numPr>
        <w:pStyle w:val="Compact"/>
      </w:pPr>
      <w:r>
        <w:t xml:space="preserve">Generate 65% of new clients through digital channels by Year 2</w:t>
      </w:r>
    </w:p>
    <w:p>
      <w:pPr>
        <w:numPr>
          <w:ilvl w:val="0"/>
          <w:numId w:val="1002"/>
        </w:numPr>
        <w:pStyle w:val="Compact"/>
      </w:pPr>
      <w:r>
        <w:t xml:space="preserve">Secure partnerships with 3 major Tel Aviv business incubators (e.g., Startup Village, The Tower)</w:t>
      </w:r>
    </w:p>
    <w:p>
      <w:pPr>
        <w:numPr>
          <w:ilvl w:val="0"/>
          <w:numId w:val="1002"/>
        </w:numPr>
        <w:pStyle w:val="Compact"/>
      </w:pPr>
      <w:r>
        <w:t xml:space="preserve">Attain top-3 ranking for "Commercial Lawyer Tel Aviv" on Google within 12 months</w:t>
      </w:r>
    </w:p>
    <w:bookmarkEnd w:id="23"/>
    <w:bookmarkStart w:id="28" w:name="X60bb63e4ba533a679e1732046ee8348033a4701"/>
    <w:p>
      <w:pPr>
        <w:pStyle w:val="Heading2"/>
      </w:pPr>
      <w:r>
        <w:t xml:space="preserve">Core Marketing Strategies: Israel Tel Aviv Focused</w:t>
      </w:r>
    </w:p>
    <w:p>
      <w:pPr>
        <w:pStyle w:val="FirstParagraph"/>
      </w:pPr>
      <w:r>
        <w:t xml:space="preserve">Our strategy merges digital precision with authentic local engagement:</w:t>
      </w:r>
    </w:p>
    <w:bookmarkStart w:id="24" w:name="culturally-intelligent-digital-presence"/>
    <w:p>
      <w:pPr>
        <w:pStyle w:val="Heading3"/>
      </w:pPr>
      <w:r>
        <w:t xml:space="preserve">1. Culturally Intelligent Digital Presence</w:t>
      </w:r>
    </w:p>
    <w:p>
      <w:pPr>
        <w:pStyle w:val="FirstParagraph"/>
      </w:pPr>
      <w:r>
        <w:t xml:space="preserve">We will develop a multilingual website (Hebrew/English) featuring case studies of landmark Tel Aviv court rulings handled by our Lawyer team. SEO tactics will target geo-specific keywords like "commercial litigation Tel Aviv," "Israeli tax lawyer" and "corporate M&amp;A Israel." A dedicated Instagram series, #TelAvivLegalInsights, will showcase daily insights into Israeli legal culture through short videos filmed at iconic Tel Aviv locations (e.g., Yarkon Park, Jaffa Port).</w:t>
      </w:r>
    </w:p>
    <w:bookmarkEnd w:id="24"/>
    <w:bookmarkStart w:id="25" w:name="hyper-local-community-integration"/>
    <w:p>
      <w:pPr>
        <w:pStyle w:val="Heading3"/>
      </w:pPr>
      <w:r>
        <w:t xml:space="preserve">2. Hyper-Local Community Integration</w:t>
      </w:r>
    </w:p>
    <w:p>
      <w:pPr>
        <w:pStyle w:val="FirstParagraph"/>
      </w:pPr>
      <w:r>
        <w:t xml:space="preserve">Beyond standard networking, we'll establish "Legal Breakfasts" at Tel Aviv's most prestigious venues (e.g., The Ritz-Carlton, Habima Theatre lobby), co-hosted with leading Israeli business associations. Our Lawyer will deliver monthly 15-minute talks on trending topics like "Israel's New Startup Visa Regulations" to exclusive audiences of 40-50 key decision-makers per session. This builds organic trust within Israel Tel Aviv's tight-knit business community.</w:t>
      </w:r>
    </w:p>
    <w:bookmarkEnd w:id="25"/>
    <w:bookmarkStart w:id="26" w:name="X496b9ab2c2334cd44c01d4539dbe3cbd237ab08"/>
    <w:p>
      <w:pPr>
        <w:pStyle w:val="Heading3"/>
      </w:pPr>
      <w:r>
        <w:t xml:space="preserve">3. Strategic Partnerships in Israel Tel Aviv Ecosystem</w:t>
      </w:r>
    </w:p>
    <w:p>
      <w:pPr>
        <w:pStyle w:val="FirstParagraph"/>
      </w:pPr>
      <w:r>
        <w:t xml:space="preserve">We will partner with Tel Aviv University Law School for a "Future Lawyer Fellowship," providing internships to top students while gaining campus visibility. Simultaneously, we'll collaborate with Wix (Tel Aviv HQ) and Microsoft Israel on joint webinars about legal tech compliance – positioning our Lawyer as the bridge between cutting-edge innovation and Israeli jurisprudence.</w:t>
      </w:r>
    </w:p>
    <w:bookmarkEnd w:id="26"/>
    <w:bookmarkStart w:id="27" w:name="data-driven-client-acquisition"/>
    <w:p>
      <w:pPr>
        <w:pStyle w:val="Heading3"/>
      </w:pPr>
      <w:r>
        <w:t xml:space="preserve">4. Data-Driven Client Acquisition</w:t>
      </w:r>
    </w:p>
    <w:p>
      <w:pPr>
        <w:pStyle w:val="FirstParagraph"/>
      </w:pPr>
      <w:r>
        <w:t xml:space="preserve">Using CRM analytics specific to Israel Tel Aviv market data, we'll track engagement patterns. For example, clients searching "Israeli real estate law" from Tel Aviv area codes will receive automated Hebrew-language case summaries about recent Haifa district court rulings relevant to coastal property investments. This localized content strategy converts 27% higher than generic legal marketing (per PwC Israel study).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Israel Tel Aviv Focus</w:t>
            </w:r>
          </w:p>
        </w:tc>
      </w:tr>
      <w:tr>
        <w:tc>
          <w:tcPr/>
          <w:p>
            <w:pPr>
              <w:pStyle w:val="Compact"/>
              <w:jc w:val="left"/>
            </w:pPr>
            <w:r>
              <w:t xml:space="preserve">Digital Marketing &amp; SEO</w:t>
            </w:r>
          </w:p>
        </w:tc>
        <w:tc>
          <w:tcPr/>
          <w:p>
            <w:pPr>
              <w:pStyle w:val="Compact"/>
              <w:jc w:val="left"/>
            </w:pPr>
            <w:r>
              <w:t xml:space="preserve">$48,000 (32%)</w:t>
            </w:r>
          </w:p>
        </w:tc>
        <w:tc>
          <w:tcPr/>
          <w:p>
            <w:pPr>
              <w:pStyle w:val="Compact"/>
              <w:jc w:val="left"/>
            </w:pPr>
            <w:r>
              <w:t xml:space="preserve">Geo-targeted ads to Tel Aviv ZIP codes; Hebrew-language content creation</w:t>
            </w:r>
          </w:p>
        </w:tc>
      </w:tr>
      <w:tr>
        <w:tc>
          <w:tcPr/>
          <w:p>
            <w:pPr>
              <w:pStyle w:val="Compact"/>
              <w:jc w:val="left"/>
            </w:pPr>
            <w:r>
              <w:t xml:space="preserve">Community Engagement</w:t>
            </w:r>
          </w:p>
        </w:tc>
        <w:tc>
          <w:tcPr/>
          <w:p>
            <w:pPr>
              <w:pStyle w:val="Compact"/>
              <w:jc w:val="left"/>
            </w:pPr>
            <w:r>
              <w:t xml:space="preserve">$36,000 (24%)</w:t>
            </w:r>
          </w:p>
        </w:tc>
        <w:tc>
          <w:tcPr/>
          <w:p>
            <w:pPr>
              <w:pStyle w:val="Compact"/>
              <w:jc w:val="left"/>
            </w:pPr>
            <w:r>
              <w:t xml:space="preserve">Tel Aviv venue rentals; partnership with 3 local business associations</w:t>
            </w:r>
          </w:p>
        </w:tc>
      </w:tr>
      <w:tr>
        <w:tc>
          <w:tcPr/>
          <w:p>
            <w:pPr>
              <w:pStyle w:val="Compact"/>
              <w:jc w:val="left"/>
            </w:pPr>
            <w:r>
              <w:t xml:space="preserve">Content Production</w:t>
            </w:r>
          </w:p>
        </w:tc>
        <w:tc>
          <w:tcPr/>
          <w:p>
            <w:pPr>
              <w:pStyle w:val="Compact"/>
              <w:jc w:val="left"/>
            </w:pPr>
            <w:r>
              <w:t xml:space="preserve">$32,000 (21%)</w:t>
            </w:r>
          </w:p>
        </w:tc>
        <w:tc>
          <w:tcPr/>
          <w:p>
            <w:pPr>
              <w:pStyle w:val="Compact"/>
              <w:jc w:val="left"/>
            </w:pPr>
            <w:r>
              <w:t xml:space="preserve">Video series filmed at Tel Aviv landmarks; case studies on local court decisions</w:t>
            </w:r>
          </w:p>
        </w:tc>
      </w:tr>
      <w:tr>
        <w:tc>
          <w:tcPr/>
          <w:p>
            <w:pPr>
              <w:pStyle w:val="Compact"/>
              <w:jc w:val="left"/>
            </w:pPr>
            <w:r>
              <w:t xml:space="preserve">Partnership Development</w:t>
            </w:r>
          </w:p>
        </w:tc>
        <w:tc>
          <w:tcPr/>
          <w:p>
            <w:pPr>
              <w:pStyle w:val="Compact"/>
              <w:jc w:val="left"/>
            </w:pPr>
            <w:r>
              <w:t xml:space="preserve">$28,000 (19%)</w:t>
            </w:r>
          </w:p>
        </w:tc>
        <w:tc>
          <w:tcPr/>
          <w:p>
            <w:pPr>
              <w:pStyle w:val="Compact"/>
              <w:jc w:val="left"/>
            </w:pPr>
            <w:r>
              <w:t xml:space="preserve">Tel Aviv University program; tech company co-branded webinars</w:t>
            </w:r>
          </w:p>
        </w:tc>
      </w:tr>
    </w:tbl>
    <w:bookmarkEnd w:id="29"/>
    <w:bookmarkStart w:id="30" w:name="Xb4c63280a6d30bbc81764daf9e9d890aee6455e"/>
    <w:p>
      <w:pPr>
        <w:pStyle w:val="Heading2"/>
      </w:pPr>
      <w:r>
        <w:t xml:space="preserve">Implementation Timeline: Israel Tel Aviv Acceleration</w:t>
      </w:r>
    </w:p>
    <w:p>
      <w:pPr>
        <w:pStyle w:val="FirstParagraph"/>
      </w:pPr>
      <w:r>
        <w:rPr>
          <w:bCs/>
          <w:b/>
        </w:rPr>
        <w:t xml:space="preserve">Months 1-3:</w:t>
      </w:r>
      <w:r>
        <w:t xml:space="preserve"> </w:t>
      </w:r>
      <w:r>
        <w:t xml:space="preserve">Launch SEO campaign targeting "Lawyer Tel Aviv" keywords; secure first partnerships with two Tel Aviv incubators.</w:t>
      </w:r>
      <w:r>
        <w:t xml:space="preserve"> </w:t>
      </w:r>
      <w:r>
        <w:rPr>
          <w:bCs/>
          <w:b/>
        </w:rPr>
        <w:t xml:space="preserve">Months 4-6:</w:t>
      </w:r>
      <w:r>
        <w:t xml:space="preserve"> </w:t>
      </w:r>
      <w:r>
        <w:t xml:space="preserve">Roll out #TelAvivLegalInsights Instagram series; host inaugural Legal Breakfast at The Ritz-Carlton.</w:t>
      </w:r>
      <w:r>
        <w:t xml:space="preserve"> </w:t>
      </w:r>
      <w:r>
        <w:rPr>
          <w:bCs/>
          <w:b/>
        </w:rPr>
        <w:t xml:space="preserve">Months 7-9:</w:t>
      </w:r>
      <w:r>
        <w:t xml:space="preserve"> </w:t>
      </w:r>
      <w:r>
        <w:t xml:space="preserve">Release Hebrew/English case study library featuring recent Israel Tel Aviv court victories.</w:t>
      </w:r>
      <w:r>
        <w:t xml:space="preserve"> </w:t>
      </w:r>
      <w:r>
        <w:rPr>
          <w:bCs/>
          <w:b/>
        </w:rPr>
        <w:t xml:space="preserve">Months 10-12:</w:t>
      </w:r>
      <w:r>
        <w:t xml:space="preserve"> </w:t>
      </w:r>
      <w:r>
        <w:t xml:space="preserve">Achieve top Google ranking for "Commercial Lawyer Tel Aviv"; secure Wix partnership webinar.</w:t>
      </w:r>
    </w:p>
    <w:bookmarkEnd w:id="30"/>
    <w:bookmarkStart w:id="31" w:name="evaluation-continuous-improvement"/>
    <w:p>
      <w:pPr>
        <w:pStyle w:val="Heading2"/>
      </w:pPr>
      <w:r>
        <w:t xml:space="preserve">Evaluation &amp; Continuous Improvement</w:t>
      </w:r>
    </w:p>
    <w:p>
      <w:pPr>
        <w:pStyle w:val="FirstParagraph"/>
      </w:pPr>
      <w:r>
        <w:t xml:space="preserve">We measure success through Israeli-specific KPIs:</w:t>
      </w:r>
      <w:r>
        <w:t xml:space="preserve"> </w:t>
      </w:r>
      <w:r>
        <w:t xml:space="preserve">• Local client acquisition cost (target: 30% below industry average in Israel Tel Aviv)</w:t>
      </w:r>
      <w:r>
        <w:t xml:space="preserve"> </w:t>
      </w:r>
      <w:r>
        <w:t xml:space="preserve">• Social media engagement rate among Tel Aviv professionals (target: 8.5%)</w:t>
      </w:r>
      <w:r>
        <w:t xml:space="preserve"> </w:t>
      </w:r>
      <w:r>
        <w:t xml:space="preserve">• Repeat client referrals from Tel Aviv business networks (target: 42% by Year 2)</w:t>
      </w:r>
      <w:r>
        <w:t xml:space="preserve"> </w:t>
      </w:r>
      <w:r>
        <w:t xml:space="preserve">Monthly analytics reviews will assess campaign performance within Israel's unique regulatory context, with quarterly strategy pivots based on emerging local legal trends. For instance, if new Israeli data protection laws impact our target market, we'll immediately develop content addressing that shift – proving our Lawyer team's real-time understanding of Israel Tel Aviv's evolving legal terrain.</w:t>
      </w:r>
    </w:p>
    <w:bookmarkEnd w:id="31"/>
    <w:bookmarkStart w:id="32" w:name="conclusion"/>
    <w:p>
      <w:pPr>
        <w:pStyle w:val="Heading2"/>
      </w:pPr>
      <w:r>
        <w:t xml:space="preserve">Conclusion</w:t>
      </w:r>
    </w:p>
    <w:p>
      <w:pPr>
        <w:pStyle w:val="FirstParagraph"/>
      </w:pPr>
      <w:r>
        <w:t xml:space="preserve">This Marketing Plan doesn't just position a law firm – it builds a trusted institutional presence within Israel Tel Aviv's economic ecosystem. By making every touchpoint culturally resonant, legally precise, and geographically relevant, we transform our Lawyer from service provider to indispensable partner for businesses navigating Israel's complex legal landscape. The integrated approach ensures sustainable growth while honoring the distinctive character of Tel Aviv as the heart of Israel's commercial innovation. Within 36 months, this Marketing Plan will establish us as the first choice for any business seeking legal excellence in Israel Tel Aviv – where global strategy meets local mastery.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Legal Services in Israel Tel Aviv</dc:title>
  <dc:creator/>
  <dc:language>en</dc:language>
  <cp:keywords/>
  <dcterms:created xsi:type="dcterms:W3CDTF">2026-07-23T16:03:45Z</dcterms:created>
  <dcterms:modified xsi:type="dcterms:W3CDTF">2026-07-23T16:03:45Z</dcterms:modified>
</cp:coreProperties>
</file>

<file path=docProps/custom.xml><?xml version="1.0" encoding="utf-8"?>
<Properties xmlns="http://schemas.openxmlformats.org/officeDocument/2006/custom-properties" xmlns:vt="http://schemas.openxmlformats.org/officeDocument/2006/docPropsVTypes"/>
</file>