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ca64a324639f26fa03389008698abfb0691078"/>
    <w:p>
      <w:pPr>
        <w:pStyle w:val="Heading1"/>
      </w:pPr>
      <w:r>
        <w:t xml:space="preserve">Comprehensive Marketing Plan for Premium Legal Services in Riyadh, Saudi Arabia</w:t>
      </w:r>
    </w:p>
    <w:bookmarkStart w:id="20" w:name="executive-summary"/>
    <w:p>
      <w:pPr>
        <w:pStyle w:val="Heading2"/>
      </w:pPr>
      <w:r>
        <w:t xml:space="preserve">Executive Summary</w:t>
      </w:r>
    </w:p>
    <w:p>
      <w:pPr>
        <w:pStyle w:val="FirstParagraph"/>
      </w:pPr>
      <w:r>
        <w:t xml:space="preserve">This strategic Marketing Plan outlines the roadmap for establishing a premier legal practice in Riyadh, Saudi Arabia. As the capital city driving Vision 2030 economic transformation, Riyadh presents unprecedented opportunities for specialized legal services. Our plan targets high-net-worth individuals, multinational corporations, and local enterprises navigating complex regulatory landscapes. The strategy leverages Saudi Arabia's evolving legal ecosystem to position our firm as the trusted advisor for both domestic and international clients seeking expert counsel in Riyadh.</w:t>
      </w:r>
    </w:p>
    <w:bookmarkEnd w:id="20"/>
    <w:bookmarkStart w:id="21" w:name="Xd59afdaa0d5f595cb00c689546b3f28584276ec"/>
    <w:p>
      <w:pPr>
        <w:pStyle w:val="Heading2"/>
      </w:pPr>
      <w:r>
        <w:t xml:space="preserve">Market Analysis: Saudi Arabia Riyadh Context</w:t>
      </w:r>
    </w:p>
    <w:p>
      <w:pPr>
        <w:pStyle w:val="FirstParagraph"/>
      </w:pPr>
      <w:r>
        <w:t xml:space="preserve">Riyadh serves as the epicenter of Saudi Arabia's legal and business revolution. With Vision 2030 accelerating private sector growth, foreign investment surges, and regulatory reforms (including new commercial courts and arbitration laws), demand for sophisticated legal expertise has never been higher. The Kingdom's judicial modernization efforts—such as the 2018 implementation of a unified court system and specialized dispute resolution centers—create both challenges and opportunities for the Lawyer profession. Current market gaps include limited Arabic-English bilingual legal teams, insufficient corporate advisory services for SMEs, and inadequate digital client engagement platforms. Riyadh's rapidly expanding expatriate community (over 4 million residents) further fuels demand for culturally attuned legal counsel.</w:t>
      </w:r>
    </w:p>
    <w:bookmarkEnd w:id="21"/>
    <w:bookmarkStart w:id="22" w:name="target-audience"/>
    <w:p>
      <w:pPr>
        <w:pStyle w:val="Heading2"/>
      </w:pPr>
      <w:r>
        <w:t xml:space="preserve">Target Audience</w:t>
      </w:r>
    </w:p>
    <w:p>
      <w:pPr>
        <w:pStyle w:val="FirstParagraph"/>
      </w:pPr>
      <w:r>
        <w:t xml:space="preserve">Our primary audience segments in Saudi Arabia Riyadh include:</w:t>
      </w:r>
    </w:p>
    <w:p>
      <w:pPr>
        <w:numPr>
          <w:ilvl w:val="0"/>
          <w:numId w:val="1001"/>
        </w:numPr>
        <w:pStyle w:val="Compact"/>
      </w:pPr>
      <w:r>
        <w:rPr>
          <w:bCs/>
          <w:b/>
        </w:rPr>
        <w:t xml:space="preserve">Multinational Corporations:</w:t>
      </w:r>
      <w:r>
        <w:t xml:space="preserve"> </w:t>
      </w:r>
      <w:r>
        <w:t xml:space="preserve">Entering the Kingdom through joint ventures, requiring compliance with Saudization (Nitaqat) and local content regulations.</w:t>
      </w:r>
    </w:p>
    <w:p>
      <w:pPr>
        <w:numPr>
          <w:ilvl w:val="0"/>
          <w:numId w:val="1001"/>
        </w:numPr>
        <w:pStyle w:val="Compact"/>
      </w:pPr>
      <w:r>
        <w:rPr>
          <w:bCs/>
          <w:b/>
        </w:rPr>
        <w:t xml:space="preserve">SME Owners &amp; Entrepreneurs:</w:t>
      </w:r>
      <w:r>
        <w:t xml:space="preserve"> </w:t>
      </w:r>
      <w:r>
        <w:t xml:space="preserve">Seeking guidance on business licensing, contracts under new commercial laws, and dispute resolution via Riyadh's newly established Commercial Court.</w:t>
      </w:r>
    </w:p>
    <w:p>
      <w:pPr>
        <w:numPr>
          <w:ilvl w:val="0"/>
          <w:numId w:val="1001"/>
        </w:numPr>
        <w:pStyle w:val="Compact"/>
      </w:pPr>
      <w:r>
        <w:rPr>
          <w:bCs/>
          <w:b/>
        </w:rPr>
        <w:t xml:space="preserve">High-Net-Worth Individuals (HNWIs):</w:t>
      </w:r>
      <w:r>
        <w:t xml:space="preserve"> </w:t>
      </w:r>
      <w:r>
        <w:t xml:space="preserve">Needing succession planning, asset protection in compliance with Islamic finance principles, and family law expertise within Saudi Arabia's cultural framework.</w:t>
      </w:r>
    </w:p>
    <w:p>
      <w:pPr>
        <w:numPr>
          <w:ilvl w:val="0"/>
          <w:numId w:val="1001"/>
        </w:numPr>
        <w:pStyle w:val="Compact"/>
      </w:pPr>
      <w:r>
        <w:rPr>
          <w:bCs/>
          <w:b/>
        </w:rPr>
        <w:t xml:space="preserve">Government Entities:</w:t>
      </w:r>
      <w:r>
        <w:t xml:space="preserve"> </w:t>
      </w:r>
      <w:r>
        <w:t xml:space="preserve">Engaging legal advisors for public-private partnership (PPP) projects under Vision 2030 infrastructure initiatives.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50+ corporate clients in Riyadh's commercial sector (including 15+ Fortune 500 subsidiaries)</w:t>
      </w:r>
    </w:p>
    <w:p>
      <w:pPr>
        <w:numPr>
          <w:ilvl w:val="0"/>
          <w:numId w:val="1002"/>
        </w:numPr>
        <w:pStyle w:val="Compact"/>
      </w:pPr>
      <w:r>
        <w:t xml:space="preserve">Capture 30% market share among English-speaking legal service providers for foreign investors</w:t>
      </w:r>
    </w:p>
    <w:p>
      <w:pPr>
        <w:numPr>
          <w:ilvl w:val="0"/>
          <w:numId w:val="1002"/>
        </w:numPr>
        <w:pStyle w:val="Compact"/>
      </w:pPr>
      <w:r>
        <w:t xml:space="preserve">Attain a client satisfaction score of ≥4.8/5.0 through culturally intelligent service delivery</w:t>
      </w:r>
    </w:p>
    <w:p>
      <w:pPr>
        <w:numPr>
          <w:ilvl w:val="0"/>
          <w:numId w:val="1002"/>
        </w:numPr>
        <w:pStyle w:val="Compact"/>
      </w:pPr>
      <w:r>
        <w:t xml:space="preserve">Generate 75% of leads through digital channels (targeting Saudi Arabia's 96% smartphone penetration)</w:t>
      </w:r>
    </w:p>
    <w:bookmarkEnd w:id="23"/>
    <w:bookmarkStart w:id="24" w:name="marketing-strategies-tactics"/>
    <w:p>
      <w:pPr>
        <w:pStyle w:val="Heading2"/>
      </w:pPr>
      <w:r>
        <w:t xml:space="preserve">Marketing Strategies &amp; Tactics</w:t>
      </w:r>
    </w:p>
    <w:p>
      <w:pPr>
        <w:pStyle w:val="FirstParagraph"/>
      </w:pPr>
      <w:r>
        <w:rPr>
          <w:bCs/>
          <w:b/>
        </w:rPr>
        <w:t xml:space="preserve">Cultural Integration:</w:t>
      </w:r>
      <w:r>
        <w:t xml:space="preserve"> </w:t>
      </w:r>
      <w:r>
        <w:t xml:space="preserve">All marketing materials will be bilingual (Arabic/English) with content reflecting Saudi cultural norms. We'll partner with Riyadh Chamber of Commerce for events, demonstrating our commitment to local business ecosystems.</w:t>
      </w:r>
    </w:p>
    <w:p>
      <w:pPr>
        <w:pStyle w:val="BodyText"/>
      </w:pPr>
      <w:r>
        <w:rPr>
          <w:bCs/>
          <w:b/>
        </w:rPr>
        <w:t xml:space="preserve">Digital Dominance:</w:t>
      </w:r>
      <w:r>
        <w:t xml:space="preserve"> </w:t>
      </w:r>
      <w:r>
        <w:t xml:space="preserve">Launch a Saudi-specific legal portal featuring:</w:t>
      </w:r>
    </w:p>
    <w:p>
      <w:pPr>
        <w:numPr>
          <w:ilvl w:val="0"/>
          <w:numId w:val="1003"/>
        </w:numPr>
        <w:pStyle w:val="Compact"/>
      </w:pPr>
      <w:r>
        <w:t xml:space="preserve">Real-time updates on Riyadh court procedures</w:t>
      </w:r>
    </w:p>
    <w:p>
      <w:pPr>
        <w:numPr>
          <w:ilvl w:val="0"/>
          <w:numId w:val="1003"/>
        </w:numPr>
        <w:pStyle w:val="Compact"/>
      </w:pPr>
      <w:r>
        <w:t xml:space="preserve">Arabic-language e-books on "Navigating Saudi Business Licensing"</w:t>
      </w:r>
    </w:p>
    <w:p>
      <w:pPr>
        <w:numPr>
          <w:ilvl w:val="0"/>
          <w:numId w:val="1003"/>
        </w:numPr>
        <w:pStyle w:val="Compact"/>
      </w:pPr>
      <w:r>
        <w:t xml:space="preserve">Live Q&amp;A sessions with Riyadh-based lawyers via WhatsApp (top communication channel in KSA)</w:t>
      </w:r>
    </w:p>
    <w:p>
      <w:pPr>
        <w:pStyle w:val="FirstParagraph"/>
      </w:pPr>
      <w:r>
        <w:rPr>
          <w:bCs/>
          <w:b/>
        </w:rPr>
        <w:t xml:space="preserve">Strategic Partnerships:</w:t>
      </w:r>
      <w:r>
        <w:t xml:space="preserve"> </w:t>
      </w:r>
      <w:r>
        <w:t xml:space="preserve">Forge alliances with:</w:t>
      </w:r>
    </w:p>
    <w:p>
      <w:pPr>
        <w:numPr>
          <w:ilvl w:val="0"/>
          <w:numId w:val="1004"/>
        </w:numPr>
        <w:pStyle w:val="Compact"/>
      </w:pPr>
      <w:r>
        <w:t xml:space="preserve">Riyadh's Economic City for corporate workshops</w:t>
      </w:r>
    </w:p>
    <w:p>
      <w:pPr>
        <w:numPr>
          <w:ilvl w:val="0"/>
          <w:numId w:val="1004"/>
        </w:numPr>
        <w:pStyle w:val="Compact"/>
      </w:pPr>
      <w:r>
        <w:t xml:space="preserve">Saudi Ministry of Justice on legal literacy initiatives</w:t>
      </w:r>
    </w:p>
    <w:p>
      <w:pPr>
        <w:numPr>
          <w:ilvl w:val="0"/>
          <w:numId w:val="1004"/>
        </w:numPr>
        <w:pStyle w:val="Compact"/>
      </w:pPr>
      <w:r>
        <w:t xml:space="preserve">International firms like PwC Saudi Arabia for cross-referrals</w:t>
      </w:r>
    </w:p>
    <w:p>
      <w:pPr>
        <w:pStyle w:val="FirstParagraph"/>
      </w:pPr>
      <w:r>
        <w:rPr>
          <w:bCs/>
          <w:b/>
        </w:rPr>
        <w:t xml:space="preserve">Thought Leadership:</w:t>
      </w:r>
      <w:r>
        <w:t xml:space="preserve"> </w:t>
      </w:r>
      <w:r>
        <w:t xml:space="preserve">Publish quarterly Riyadh Legal Insights reports analyzing:</w:t>
      </w:r>
    </w:p>
    <w:p>
      <w:pPr>
        <w:numPr>
          <w:ilvl w:val="0"/>
          <w:numId w:val="1005"/>
        </w:numPr>
        <w:pStyle w:val="Compact"/>
      </w:pPr>
      <w:r>
        <w:t xml:space="preserve">New arbitration rulings at the Riyadh Center for Commercial Arbitration (RCCA)</w:t>
      </w:r>
    </w:p>
    <w:p>
      <w:pPr>
        <w:numPr>
          <w:ilvl w:val="0"/>
          <w:numId w:val="1005"/>
        </w:numPr>
        <w:pStyle w:val="Compact"/>
      </w:pPr>
      <w:r>
        <w:t xml:space="preserve">Saudi Labor Law amendments impacting foreign workers</w:t>
      </w:r>
    </w:p>
    <w:p>
      <w:pPr>
        <w:numPr>
          <w:ilvl w:val="0"/>
          <w:numId w:val="1005"/>
        </w:numPr>
        <w:pStyle w:val="Compact"/>
      </w:pPr>
      <w:r>
        <w:t xml:space="preserve">Trends in M&amp;A activity within Vision 2030 projects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Arabic Content)</w:t>
      </w:r>
    </w:p>
    <w:p>
      <w:pPr>
        <w:pStyle w:val="BodyText"/>
      </w:pPr>
      <w:r>
        <w:t xml:space="preserve">35%</w:t>
      </w:r>
    </w:p>
    <w:p>
      <w:pPr>
        <w:pStyle w:val="BodyText"/>
      </w:pPr>
      <w:r>
        <w:t xml:space="preserve">Leveraging Riyadh's 80% internet adoption rate; targets young entrepreneurs seeking online legal solutions</w:t>
      </w:r>
    </w:p>
    <w:p>
      <w:pPr>
        <w:pStyle w:val="BodyText"/>
      </w:pPr>
      <w:r>
        <w:t xml:space="preserve">Local Events &amp; Partnerships</w:t>
      </w:r>
    </w:p>
    <w:p>
      <w:pPr>
        <w:pStyle w:val="BodyText"/>
      </w:pPr>
      <w:r>
        <w:t xml:space="preserve">25%</w:t>
      </w:r>
    </w:p>
    <w:p>
      <w:pPr>
        <w:pStyle w:val="BodyText"/>
      </w:pPr>
      <w:r>
        <w:t xml:space="preserve">Riyadh Chamber of Commerce events; positioning Lawyer as community pillar</w:t>
      </w:r>
    </w:p>
    <w:p>
      <w:pPr>
        <w:pStyle w:val="BodyText"/>
      </w:pPr>
      <w:r>
        <w:t xml:space="preserve">Cultural Training for Legal Team</w:t>
      </w:r>
    </w:p>
    <w:p>
      <w:pPr>
        <w:pStyle w:val="BodyText"/>
      </w:pPr>
      <w:r>
        <w:t xml:space="preserve">15%</w:t>
      </w:r>
    </w:p>
    <w:p>
      <w:pPr>
        <w:pStyle w:val="BodyText"/>
      </w:pPr>
      <w:r>
        <w:t xml:space="preserve">Certification in Saudi business etiquette (mandatory per Ministry of Commerce guidelines)</w:t>
      </w:r>
    </w:p>
    <w:p>
      <w:pPr>
        <w:pStyle w:val="BodyText"/>
      </w:pPr>
      <w:r>
        <w:t xml:space="preserve">Content Development</w:t>
      </w:r>
    </w:p>
    <w:p>
      <w:pPr>
        <w:pStyle w:val="BodyText"/>
      </w:pPr>
      <w:r>
        <w:t xml:space="preserve">15%</w:t>
      </w:r>
    </w:p>
    <w:p>
      <w:pPr>
        <w:pStyle w:val="BodyText"/>
      </w:pPr>
      <w:r>
        <w:t xml:space="preserve">Videos explaining complex laws via simple Arabic animations; aligns with Saudi youth preference for video content</w:t>
      </w:r>
    </w:p>
    <w:p>
      <w:pPr>
        <w:pStyle w:val="BodyText"/>
      </w:pPr>
      <w:r>
        <w:t xml:space="preserve">Analytics &amp; CRM</w:t>
      </w:r>
    </w:p>
    <w:p>
      <w:pPr>
        <w:pStyle w:val="BodyText"/>
      </w:pPr>
      <w:r>
        <w:t xml:space="preserve">10%</w:t>
      </w:r>
    </w:p>
    <w:p>
      <w:pPr>
        <w:pStyle w:val="BodyText"/>
      </w:pPr>
      <w:r>
        <w:t xml:space="preserve">Tracking client journeys in Riyadh's unique business environment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Riyadh office presence; launch Arabic/English website with Sharia-compliant content framework. Secure first 5 corporate partnerships.</w:t>
      </w:r>
    </w:p>
    <w:p>
      <w:pPr>
        <w:pStyle w:val="BodyText"/>
      </w:pPr>
      <w:r>
        <w:rPr>
          <w:bCs/>
          <w:b/>
        </w:rPr>
        <w:t xml:space="preserve">Months 4-6:</w:t>
      </w:r>
      <w:r>
        <w:t xml:space="preserve"> </w:t>
      </w:r>
      <w:r>
        <w:t xml:space="preserve">Host "Vision 2030 Legal Strategy" seminar at King Abdulaziz International Airport for business travelers. Deploy WhatsApp legal consultation service.</w:t>
      </w:r>
    </w:p>
    <w:p>
      <w:pPr>
        <w:pStyle w:val="BodyText"/>
      </w:pPr>
      <w:r>
        <w:rPr>
          <w:bCs/>
          <w:b/>
        </w:rPr>
        <w:t xml:space="preserve">Months 7-12:</w:t>
      </w:r>
      <w:r>
        <w:t xml:space="preserve"> </w:t>
      </w:r>
      <w:r>
        <w:t xml:space="preserve">Publish first Riyadh Legal Insights report. Partner with Riyadh Development Authority on SME legal clinics. Achieve 30% lead generation from digital channels.</w:t>
      </w:r>
    </w:p>
    <w:bookmarkEnd w:id="26"/>
    <w:bookmarkStart w:id="27" w:name="measurement-evaluation"/>
    <w:p>
      <w:pPr>
        <w:pStyle w:val="Heading2"/>
      </w:pPr>
      <w:r>
        <w:t xml:space="preserve">Measurement &amp; Evaluation</w:t>
      </w:r>
    </w:p>
    <w:p>
      <w:pPr>
        <w:pStyle w:val="FirstParagraph"/>
      </w:pPr>
      <w:r>
        <w:t xml:space="preserve">We will track KPIs specifically relevant to Saudi Arabia Riyadh operations:</w:t>
      </w:r>
    </w:p>
    <w:p>
      <w:pPr>
        <w:numPr>
          <w:ilvl w:val="0"/>
          <w:numId w:val="1006"/>
        </w:numPr>
        <w:pStyle w:val="Compact"/>
      </w:pPr>
      <w:r>
        <w:rPr>
          <w:bCs/>
          <w:b/>
        </w:rPr>
        <w:t xml:space="preserve">Local Market Penetration:</w:t>
      </w:r>
      <w:r>
        <w:t xml:space="preserve"> </w:t>
      </w:r>
      <w:r>
        <w:t xml:space="preserve">% of clients sourced within Riyadh (target: 85% by Year 1)</w:t>
      </w:r>
    </w:p>
    <w:p>
      <w:pPr>
        <w:numPr>
          <w:ilvl w:val="0"/>
          <w:numId w:val="1006"/>
        </w:numPr>
        <w:pStyle w:val="Compact"/>
      </w:pPr>
      <w:r>
        <w:rPr>
          <w:bCs/>
          <w:b/>
        </w:rPr>
        <w:t xml:space="preserve">Cultural Competency Score:</w:t>
      </w:r>
      <w:r>
        <w:t xml:space="preserve"> </w:t>
      </w:r>
      <w:r>
        <w:t xml:space="preserve">Client surveys measuring understanding of Saudi business practices (target: 90% positive)</w:t>
      </w:r>
    </w:p>
    <w:p>
      <w:pPr>
        <w:numPr>
          <w:ilvl w:val="0"/>
          <w:numId w:val="1006"/>
        </w:numPr>
        <w:pStyle w:val="Compact"/>
      </w:pPr>
      <w:r>
        <w:rPr>
          <w:bCs/>
          <w:b/>
        </w:rPr>
        <w:t xml:space="preserve">Regulatory Agility Index:</w:t>
      </w:r>
      <w:r>
        <w:t xml:space="preserve"> </w:t>
      </w:r>
      <w:r>
        <w:t xml:space="preserve">Time to update service offerings following new Kingdom laws (target: ≤48 hours post-announcement)</w:t>
      </w:r>
    </w:p>
    <w:p>
      <w:pPr>
        <w:numPr>
          <w:ilvl w:val="0"/>
          <w:numId w:val="1006"/>
        </w:numPr>
        <w:pStyle w:val="Compact"/>
      </w:pPr>
      <w:r>
        <w:rPr>
          <w:bCs/>
          <w:b/>
        </w:rPr>
        <w:t xml:space="preserve">Digital Engagement Rate:</w:t>
      </w:r>
      <w:r>
        <w:t xml:space="preserve"> </w:t>
      </w:r>
      <w:r>
        <w:t xml:space="preserve">Click-through rates on Riyadh-focused content (target: 25%+ from local IPs)</w:t>
      </w:r>
    </w:p>
    <w:bookmarkEnd w:id="27"/>
    <w:bookmarkStart w:id="28" w:name="conclusion"/>
    <w:p>
      <w:pPr>
        <w:pStyle w:val="Heading2"/>
      </w:pPr>
      <w:r>
        <w:t xml:space="preserve">Conclusion</w:t>
      </w:r>
    </w:p>
    <w:p>
      <w:pPr>
        <w:pStyle w:val="FirstParagraph"/>
      </w:pPr>
      <w:r>
        <w:t xml:space="preserve">This Marketing Plan positions our legal practice as the indispensable partner for navigating Saudi Arabia's dynamic legal landscape in Riyadh. By embedding cultural intelligence into every service touchpoint—from digital content to courtroom strategy—we transform the Lawyer-client relationship from transactional to transformative. As Vision 2030 accelerates Saudi Arabia's emergence as a global business hub, our firm will be recognized not merely as a legal provider, but as an active catalyst for sustainable growth within Riyadh's economic ecosystem. The success of this plan directly aligns with Saudi Arabia's national vision: building world-class legal services that empower local and international enterprises to thrive in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Riyadh, Saudi Arabia</dc:title>
  <dc:creator/>
  <dc:language>en</dc:language>
  <cp:keywords/>
  <dcterms:created xsi:type="dcterms:W3CDTF">2026-07-21T11:03:35Z</dcterms:created>
  <dcterms:modified xsi:type="dcterms:W3CDTF">2026-07-21T11:03:35Z</dcterms:modified>
</cp:coreProperties>
</file>

<file path=docProps/custom.xml><?xml version="1.0" encoding="utf-8"?>
<Properties xmlns="http://schemas.openxmlformats.org/officeDocument/2006/custom-properties" xmlns:vt="http://schemas.openxmlformats.org/officeDocument/2006/docPropsVTypes"/>
</file>