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5d4353ccbd1667201ba9095ff9c1c44ddacc2ff"/>
    <w:p>
      <w:pPr>
        <w:pStyle w:val="Heading1"/>
      </w:pPr>
      <w:r>
        <w:t xml:space="preserve">Comprehensive Marketing Plan for Premier Legal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for establishing and growing a distinguished legal practice within the dynamic business landscape of Dubai, United Arab Emirates. As the commercial capital of the Middle East, Dubai attracts global enterprises requiring specialized legal counsel navigating complex Emirati regulations. Our strategy focuses on positioning our</w:t>
      </w:r>
      <w:r>
        <w:t xml:space="preserve"> </w:t>
      </w:r>
      <w:r>
        <w:rPr>
          <w:bCs/>
          <w:b/>
        </w:rPr>
        <w:t xml:space="preserve">Lawyer</w:t>
      </w:r>
      <w:r>
        <w:t xml:space="preserve"> </w:t>
      </w:r>
      <w:r>
        <w:t xml:space="preserve">as the trusted advisor for multinational corporations, high-net-worth individuals, and emerging startups seeking seamless legal solutions within the United Arab Emirates Dubai jurisdiction. The plan leverages Dubai's unique position as a global business hub to create a premium brand synonymous with expertise in UAE commercial law, dispute resolution, and regulatory compliance.</w:t>
      </w:r>
    </w:p>
    <w:bookmarkEnd w:id="20"/>
    <w:bookmarkStart w:id="21" w:name="market-analysis-dubai-legal-landscape"/>
    <w:p>
      <w:pPr>
        <w:pStyle w:val="Heading2"/>
      </w:pPr>
      <w:r>
        <w:t xml:space="preserve">Market Analysis: Dubai Legal Landscape</w:t>
      </w:r>
    </w:p>
    <w:p>
      <w:pPr>
        <w:pStyle w:val="FirstParagraph"/>
      </w:pPr>
      <w:r>
        <w:t xml:space="preserve">The United Arab Emirates Dubai market presents exceptional opportunities for specialized legal services. With over 80,000 active businesses operating across free zones like DIFC and ADGM, demand for bilingual (English/Arabic) legal counsel is surging. Key insights include:</w:t>
      </w:r>
    </w:p>
    <w:p>
      <w:pPr>
        <w:numPr>
          <w:ilvl w:val="0"/>
          <w:numId w:val="1001"/>
        </w:numPr>
        <w:pStyle w:val="Compact"/>
      </w:pPr>
      <w:r>
        <w:rPr>
          <w:bCs/>
          <w:b/>
        </w:rPr>
        <w:t xml:space="preserve">Target Clients:</w:t>
      </w:r>
      <w:r>
        <w:t xml:space="preserve"> </w:t>
      </w:r>
      <w:r>
        <w:t xml:space="preserve">Multinational corporations expanding into MENA, real estate developers navigating Dubai Land Department regulations, expatriate professionals requiring immigration assistance, and family law clients seeking Sharia-compliant solutions.</w:t>
      </w:r>
    </w:p>
    <w:p>
      <w:pPr>
        <w:numPr>
          <w:ilvl w:val="0"/>
          <w:numId w:val="1001"/>
        </w:numPr>
        <w:pStyle w:val="Compact"/>
      </w:pPr>
      <w:r>
        <w:rPr>
          <w:bCs/>
          <w:b/>
        </w:rPr>
        <w:t xml:space="preserve">Competitive Gap:</w:t>
      </w:r>
      <w:r>
        <w:t xml:space="preserve"> </w:t>
      </w:r>
      <w:r>
        <w:t xml:space="preserve">Most firms focus narrowly on transactional work. Our</w:t>
      </w:r>
      <w:r>
        <w:t xml:space="preserve"> </w:t>
      </w:r>
      <w:r>
        <w:rPr>
          <w:iCs/>
          <w:i/>
        </w:rPr>
        <w:t xml:space="preserve">Lawyer</w:t>
      </w:r>
      <w:r>
        <w:t xml:space="preserve"> </w:t>
      </w:r>
      <w:r>
        <w:t xml:space="preserve">will differentiate through integrated services: proactive compliance advisory, AI-driven contract analysis, and multilingual client support (English, Arabic, Hindi, Urdu).</w:t>
      </w:r>
    </w:p>
    <w:p>
      <w:pPr>
        <w:numPr>
          <w:ilvl w:val="0"/>
          <w:numId w:val="1001"/>
        </w:numPr>
        <w:pStyle w:val="Compact"/>
      </w:pPr>
      <w:r>
        <w:rPr>
          <w:bCs/>
          <w:b/>
        </w:rPr>
        <w:t xml:space="preserve">Dubai-Specific Nuances:</w:t>
      </w:r>
      <w:r>
        <w:t xml:space="preserve"> </w:t>
      </w:r>
      <w:r>
        <w:t xml:space="preserve">Understanding Dubai's dual legal system (civil law for mainland businesses + common law in free zones) is non-negotiable. Our practice will emphasize mastery of Dubai Courts procedures and DIFC Arbitration Centre protocols.</w:t>
      </w:r>
    </w:p>
    <w:bookmarkEnd w:id="21"/>
    <w:bookmarkStart w:id="22" w:name="unique-value-proposition"/>
    <w:p>
      <w:pPr>
        <w:pStyle w:val="Heading2"/>
      </w:pPr>
      <w:r>
        <w:t xml:space="preserve">Unique Value Proposition</w:t>
      </w:r>
    </w:p>
    <w:p>
      <w:pPr>
        <w:pStyle w:val="FirstParagraph"/>
      </w:pPr>
      <w:r>
        <w:t xml:space="preserve">We deliver "Regulatory Precision with Human Insight" – combining deep UAE legal expertise with culturally attuned client engagement. Unlike generic law firms, our</w:t>
      </w:r>
      <w:r>
        <w:t xml:space="preserve"> </w:t>
      </w:r>
      <w:r>
        <w:rPr>
          <w:bCs/>
          <w:b/>
        </w:rPr>
        <w:t xml:space="preserve">Lawyer</w:t>
      </w:r>
      <w:r>
        <w:t xml:space="preserve"> </w:t>
      </w:r>
      <w:r>
        <w:t xml:space="preserve">offers:</w:t>
      </w:r>
    </w:p>
    <w:p>
      <w:pPr>
        <w:numPr>
          <w:ilvl w:val="0"/>
          <w:numId w:val="1002"/>
        </w:numPr>
        <w:pStyle w:val="Compact"/>
      </w:pPr>
      <w:r>
        <w:rPr>
          <w:bCs/>
          <w:b/>
        </w:rPr>
        <w:t xml:space="preserve">Dubai-First Strategy:</w:t>
      </w:r>
      <w:r>
        <w:t xml:space="preserve"> </w:t>
      </w:r>
      <w:r>
        <w:t xml:space="preserve">Dedicated team fluent in Dubai's evolving regulations (e.g., 2023 Commercial Companies Law amendments).</w:t>
      </w:r>
    </w:p>
    <w:p>
      <w:pPr>
        <w:numPr>
          <w:ilvl w:val="0"/>
          <w:numId w:val="1002"/>
        </w:numPr>
        <w:pStyle w:val="Compact"/>
      </w:pPr>
      <w:r>
        <w:rPr>
          <w:bCs/>
          <w:b/>
        </w:rPr>
        <w:t xml:space="preserve">Proactive Compliance Frameworks:</w:t>
      </w:r>
      <w:r>
        <w:t xml:space="preserve"> </w:t>
      </w:r>
      <w:r>
        <w:t xml:space="preserve">Customized risk assessments preventing violations before they occur.</w:t>
      </w:r>
    </w:p>
    <w:p>
      <w:pPr>
        <w:numPr>
          <w:ilvl w:val="0"/>
          <w:numId w:val="1002"/>
        </w:numPr>
        <w:pStyle w:val="Compact"/>
      </w:pPr>
      <w:r>
        <w:rPr>
          <w:bCs/>
          <w:b/>
        </w:rPr>
        <w:t xml:space="preserve">Cross-Border Agility:</w:t>
      </w:r>
      <w:r>
        <w:t xml:space="preserve"> </w:t>
      </w:r>
      <w:r>
        <w:t xml:space="preserve">Seamless coordination for clients operating between UAE and international jurisdictions.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Achieve 40% market share among boutique firms serving multinational clients in Dubai's commercial sector.</w:t>
      </w:r>
    </w:p>
    <w:bookmarkEnd w:id="23"/>
    <w:bookmarkStart w:id="27" w:name="strategic-marketing-tactics"/>
    <w:p>
      <w:pPr>
        <w:pStyle w:val="Heading2"/>
      </w:pPr>
      <w:r>
        <w:t xml:space="preserve">Strategic Marketing Tactics</w:t>
      </w:r>
    </w:p>
    <w:bookmarkStart w:id="24" w:name="X0bfb3a57c31194c4e15f162cd8ab1ae2f18a47b"/>
    <w:p>
      <w:pPr>
        <w:pStyle w:val="Heading3"/>
      </w:pPr>
      <w:r>
        <w:t xml:space="preserve">Digital Dominance in Dubai's Digital Ecosystem</w:t>
      </w:r>
    </w:p>
    <w:p>
      <w:pPr>
        <w:pStyle w:val="FirstParagraph"/>
      </w:pPr>
      <w:r>
        <w:t xml:space="preserve">Leverage Dubai's tech-forward environment with:</w:t>
      </w:r>
    </w:p>
    <w:p>
      <w:pPr>
        <w:numPr>
          <w:ilvl w:val="0"/>
          <w:numId w:val="1004"/>
        </w:numPr>
        <w:pStyle w:val="Compact"/>
      </w:pPr>
      <w:r>
        <w:rPr>
          <w:bCs/>
          <w:b/>
        </w:rPr>
        <w:t xml:space="preserve">SEO-Optimized Content Hub:</w:t>
      </w:r>
      <w:r>
        <w:t xml:space="preserve"> </w:t>
      </w:r>
      <w:r>
        <w:t xml:space="preserve">Develop Arabic/English blogs on trending UAE legal topics (e.g., "2024 Free Zone Licensing Changes in Dubai"). Target keywords: "Dubai commercial lawyer," "UAE dispute resolution," "DIFC legal expert."</w:t>
      </w:r>
    </w:p>
    <w:p>
      <w:pPr>
        <w:numPr>
          <w:ilvl w:val="0"/>
          <w:numId w:val="1004"/>
        </w:numPr>
        <w:pStyle w:val="Compact"/>
      </w:pPr>
      <w:r>
        <w:rPr>
          <w:bCs/>
          <w:b/>
        </w:rPr>
        <w:t xml:space="preserve">LinkedIn Thought Leadership:</w:t>
      </w:r>
      <w:r>
        <w:t xml:space="preserve"> </w:t>
      </w:r>
      <w:r>
        <w:t xml:space="preserve">Weekly case studies showcasing successful resolutions of Dubai-specific matters (e.g., enforcing foreign judgments in Dubai courts).</w:t>
      </w:r>
    </w:p>
    <w:p>
      <w:pPr>
        <w:numPr>
          <w:ilvl w:val="0"/>
          <w:numId w:val="1004"/>
        </w:numPr>
        <w:pStyle w:val="Compact"/>
      </w:pPr>
      <w:r>
        <w:rPr>
          <w:bCs/>
          <w:b/>
        </w:rPr>
        <w:t xml:space="preserve">Dubai-Targeted Paid Campaigns:</w:t>
      </w:r>
      <w:r>
        <w:t xml:space="preserve"> </w:t>
      </w:r>
      <w:r>
        <w:t xml:space="preserve">Geo-fenced Google Ads targeting business districts (Downtown, DIFC) with keywords like "emergency lawyer UAE."</w:t>
      </w:r>
    </w:p>
    <w:bookmarkEnd w:id="24"/>
    <w:bookmarkStart w:id="25" w:name="hyper-local-network-integration"/>
    <w:p>
      <w:pPr>
        <w:pStyle w:val="Heading3"/>
      </w:pPr>
      <w:r>
        <w:t xml:space="preserve">Hyper-Local Network Integration</w:t>
      </w:r>
    </w:p>
    <w:p>
      <w:pPr>
        <w:pStyle w:val="FirstParagraph"/>
      </w:pPr>
      <w:r>
        <w:t xml:space="preserve">Embed within Dubai's professional fabric through:</w:t>
      </w:r>
    </w:p>
    <w:p>
      <w:pPr>
        <w:numPr>
          <w:ilvl w:val="0"/>
          <w:numId w:val="1005"/>
        </w:numPr>
        <w:pStyle w:val="Compact"/>
      </w:pPr>
      <w:r>
        <w:rPr>
          <w:bCs/>
          <w:b/>
        </w:rPr>
        <w:t xml:space="preserve">Dubai Chamber of Commerce Partnerships:</w:t>
      </w:r>
      <w:r>
        <w:t xml:space="preserve"> </w:t>
      </w:r>
      <w:r>
        <w:t xml:space="preserve">Sponsorship of business compliance workshops at the Dubai International Financial Centre.</w:t>
      </w:r>
    </w:p>
    <w:p>
      <w:pPr>
        <w:numPr>
          <w:ilvl w:val="0"/>
          <w:numId w:val="1005"/>
        </w:numPr>
        <w:pStyle w:val="Compact"/>
      </w:pPr>
      <w:r>
        <w:rPr>
          <w:bCs/>
          <w:b/>
        </w:rPr>
        <w:t xml:space="preserve">Cross-Industry Collaborations:</w:t>
      </w:r>
      <w:r>
        <w:t xml:space="preserve"> </w:t>
      </w:r>
      <w:r>
        <w:t xml:space="preserve">Co-hosting seminars with leading UAE real estate agencies on property law implications.</w:t>
      </w:r>
    </w:p>
    <w:p>
      <w:pPr>
        <w:numPr>
          <w:ilvl w:val="0"/>
          <w:numId w:val="1005"/>
        </w:numPr>
        <w:pStyle w:val="Compact"/>
      </w:pPr>
      <w:r>
        <w:rPr>
          <w:bCs/>
          <w:b/>
        </w:rPr>
        <w:t xml:space="preserve">Expatriate Community Engagement:</w:t>
      </w:r>
      <w:r>
        <w:t xml:space="preserve"> </w:t>
      </w:r>
      <w:r>
        <w:t xml:space="preserve">Free monthly webinars for expats on "Navigating Dubai's Family Law System" (promoted via Facebook groups popular in Dubai).</w:t>
      </w:r>
    </w:p>
    <w:bookmarkEnd w:id="25"/>
    <w:bookmarkStart w:id="26" w:name="premium-client-experience"/>
    <w:p>
      <w:pPr>
        <w:pStyle w:val="Heading3"/>
      </w:pPr>
      <w:r>
        <w:t xml:space="preserve">Premium Client Experience</w:t>
      </w:r>
    </w:p>
    <w:p>
      <w:pPr>
        <w:pStyle w:val="FirstParagraph"/>
      </w:pPr>
      <w:r>
        <w:t xml:space="preserve">Differentiate through service excellence unique to United Arab Emirates Dubai:</w:t>
      </w:r>
    </w:p>
    <w:p>
      <w:pPr>
        <w:numPr>
          <w:ilvl w:val="0"/>
          <w:numId w:val="1006"/>
        </w:numPr>
        <w:pStyle w:val="Compact"/>
      </w:pPr>
      <w:r>
        <w:rPr>
          <w:bCs/>
          <w:b/>
        </w:rPr>
        <w:t xml:space="preserve">24/7 Multilingual Hotline:</w:t>
      </w:r>
      <w:r>
        <w:t xml:space="preserve"> </w:t>
      </w:r>
      <w:r>
        <w:t xml:space="preserve">Arabic-English support for urgent Dubai court filings.</w:t>
      </w:r>
    </w:p>
    <w:p>
      <w:pPr>
        <w:numPr>
          <w:ilvl w:val="0"/>
          <w:numId w:val="1006"/>
        </w:numPr>
        <w:pStyle w:val="Compact"/>
      </w:pPr>
      <w:r>
        <w:rPr>
          <w:bCs/>
          <w:b/>
        </w:rPr>
        <w:t xml:space="preserve">Dubai-Specific Client Portal:</w:t>
      </w:r>
      <w:r>
        <w:t xml:space="preserve"> </w:t>
      </w:r>
      <w:r>
        <w:t xml:space="preserve">Real-time tracking of cases within Dubai courts with UAE legal updates.</w:t>
      </w:r>
    </w:p>
    <w:p>
      <w:pPr>
        <w:numPr>
          <w:ilvl w:val="0"/>
          <w:numId w:val="1006"/>
        </w:numPr>
        <w:pStyle w:val="Compact"/>
      </w:pPr>
      <w:r>
        <w:rPr>
          <w:bCs/>
          <w:b/>
        </w:rPr>
        <w:t xml:space="preserve">Cultural Onboarding:</w:t>
      </w:r>
      <w:r>
        <w:t xml:space="preserve"> </w:t>
      </w:r>
      <w:r>
        <w:t xml:space="preserve">Welcome kits including guide to Dubai business etiquette and local judicial practices.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PPC, Content)</w:t>
            </w:r>
          </w:p>
        </w:tc>
        <w:tc>
          <w:tcPr/>
          <w:p>
            <w:pPr>
              <w:pStyle w:val="Compact"/>
              <w:jc w:val="left"/>
            </w:pPr>
            <w:r>
              <w:t xml:space="preserve">40%</w:t>
            </w:r>
          </w:p>
        </w:tc>
        <w:tc>
          <w:tcPr/>
          <w:p>
            <w:pPr>
              <w:pStyle w:val="Compact"/>
              <w:jc w:val="left"/>
            </w:pPr>
            <w:r>
              <w:t xml:space="preserve">Dubai's high digital penetration (92% internet usage) makes this the most efficient lead generator.</w:t>
            </w:r>
          </w:p>
        </w:tc>
      </w:tr>
      <w:tr>
        <w:tc>
          <w:tcPr/>
          <w:p>
            <w:pPr>
              <w:pStyle w:val="Compact"/>
              <w:jc w:val="left"/>
            </w:pPr>
            <w:r>
              <w:t xml:space="preserve">Networking &amp; Events</w:t>
            </w:r>
          </w:p>
        </w:tc>
        <w:tc>
          <w:tcPr/>
          <w:p>
            <w:pPr>
              <w:pStyle w:val="Compact"/>
              <w:jc w:val="left"/>
            </w:pPr>
            <w:r>
              <w:t xml:space="preserve">30%</w:t>
            </w:r>
          </w:p>
        </w:tc>
        <w:tc>
          <w:tcPr/>
          <w:p>
            <w:pPr>
              <w:pStyle w:val="Compact"/>
              <w:jc w:val="left"/>
            </w:pPr>
            <w:r>
              <w:t xml:space="preserve">Dubai's relationship-driven business culture demands face-to-face engagement.</w:t>
            </w:r>
          </w:p>
        </w:tc>
      </w:tr>
      <w:tr>
        <w:tc>
          <w:tcPr/>
          <w:p>
            <w:pPr>
              <w:pStyle w:val="Compact"/>
              <w:jc w:val="left"/>
            </w:pPr>
            <w:r>
              <w:t xml:space="preserve">Branding &amp; Collateral</w:t>
            </w:r>
          </w:p>
        </w:tc>
        <w:tc>
          <w:tcPr/>
          <w:p>
            <w:pPr>
              <w:pStyle w:val="Compact"/>
              <w:jc w:val="left"/>
            </w:pPr>
            <w:r>
              <w:t xml:space="preserve">20%</w:t>
            </w:r>
          </w:p>
        </w:tc>
        <w:tc>
          <w:tcPr/>
          <w:p>
            <w:pPr>
              <w:pStyle w:val="Compact"/>
              <w:jc w:val="left"/>
            </w:pPr>
            <w:r>
              <w:t xml:space="preserve">Premium Dubai-focused materials (e.g., leather-bound UAE regulatory guide) signal authority.</w:t>
            </w:r>
          </w:p>
        </w:tc>
      </w:tr>
      <w:tr>
        <w:tc>
          <w:tcPr/>
          <w:p>
            <w:pPr>
              <w:pStyle w:val="Compact"/>
              <w:jc w:val="left"/>
            </w:pPr>
            <w:r>
              <w:t xml:space="preserve">Analytics &amp; Optimization</w:t>
            </w:r>
          </w:p>
        </w:tc>
        <w:tc>
          <w:tcPr/>
          <w:p>
            <w:pPr>
              <w:pStyle w:val="Compact"/>
              <w:jc w:val="left"/>
            </w:pPr>
            <w:r>
              <w:t xml:space="preserve">10%</w:t>
            </w:r>
          </w:p>
        </w:tc>
        <w:tc>
          <w:tcPr/>
          <w:p>
            <w:pPr>
              <w:pStyle w:val="Compact"/>
              <w:jc w:val="left"/>
            </w:pPr>
            <w:r>
              <w:t xml:space="preserve">Measuring Dubai-specific KPIs like "Dubai court case resolution rate."</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Dubai-focused digital presence; secure Dubai Chamber of Commerce partnership.</w:t>
      </w:r>
    </w:p>
    <w:p>
      <w:pPr>
        <w:pStyle w:val="BodyText"/>
      </w:pPr>
      <w:r>
        <w:rPr>
          <w:bCs/>
          <w:b/>
        </w:rPr>
        <w:t xml:space="preserve">Months 4-6:</w:t>
      </w:r>
      <w:r>
        <w:t xml:space="preserve"> </w:t>
      </w:r>
      <w:r>
        <w:t xml:space="preserve">Host first high-profile seminar on "Dubai Corporate Governance Trends"; deploy client portal.</w:t>
      </w:r>
    </w:p>
    <w:p>
      <w:pPr>
        <w:pStyle w:val="BodyText"/>
      </w:pPr>
      <w:r>
        <w:rPr>
          <w:bCs/>
          <w:b/>
        </w:rPr>
        <w:t xml:space="preserve">Months 7-9:</w:t>
      </w:r>
      <w:r>
        <w:t xml:space="preserve"> </w:t>
      </w:r>
      <w:r>
        <w:t xml:space="preserve">Expand to ADGM jurisdiction services; initiate referral program with Dubai accountants.</w:t>
      </w:r>
    </w:p>
    <w:p>
      <w:pPr>
        <w:pStyle w:val="BodyText"/>
      </w:pPr>
      <w:r>
        <w:rPr>
          <w:bCs/>
          <w:b/>
        </w:rPr>
        <w:t xml:space="preserve">Months 10-12:</w:t>
      </w:r>
      <w:r>
        <w:t xml:space="preserve"> </w:t>
      </w:r>
      <w:r>
        <w:t xml:space="preserve">Achieve 25+ corporate retainers; publish annual "UAE Legal Outlook" report for Dubai market.</w:t>
      </w:r>
    </w:p>
    <w:bookmarkEnd w:id="29"/>
    <w:bookmarkStart w:id="30" w:name="evaluation-framework"/>
    <w:p>
      <w:pPr>
        <w:pStyle w:val="Heading2"/>
      </w:pPr>
      <w:r>
        <w:t xml:space="preserve">Evaluation Framework</w:t>
      </w:r>
    </w:p>
    <w:p>
      <w:pPr>
        <w:pStyle w:val="FirstParagraph"/>
      </w:pPr>
      <w:r>
        <w:t xml:space="preserve">We measure success through UAE-specific metrics:</w:t>
      </w:r>
    </w:p>
    <w:p>
      <w:pPr>
        <w:numPr>
          <w:ilvl w:val="0"/>
          <w:numId w:val="1007"/>
        </w:numPr>
        <w:pStyle w:val="Compact"/>
      </w:pPr>
      <w:r>
        <w:rPr>
          <w:bCs/>
          <w:b/>
        </w:rPr>
        <w:t xml:space="preserve">Dubai Client Acquisition Cost (CAC):</w:t>
      </w:r>
      <w:r>
        <w:t xml:space="preserve"> </w:t>
      </w:r>
      <w:r>
        <w:t xml:space="preserve">Target ≤ $850 per qualified lead (below Dubai industry average of $1,200).</w:t>
      </w:r>
    </w:p>
    <w:p>
      <w:pPr>
        <w:numPr>
          <w:ilvl w:val="0"/>
          <w:numId w:val="1007"/>
        </w:numPr>
        <w:pStyle w:val="Compact"/>
      </w:pPr>
      <w:r>
        <w:rPr>
          <w:bCs/>
          <w:b/>
        </w:rPr>
        <w:t xml:space="preserve">Client Retention Rate:</w:t>
      </w:r>
      <w:r>
        <w:t xml:space="preserve"> </w:t>
      </w:r>
      <w:r>
        <w:t xml:space="preserve">Target 85%+ within UAE Dubai market (vs. 65% regional average).</w:t>
      </w:r>
    </w:p>
    <w:p>
      <w:pPr>
        <w:numPr>
          <w:ilvl w:val="0"/>
          <w:numId w:val="1007"/>
        </w:numPr>
        <w:pStyle w:val="Compact"/>
      </w:pPr>
      <w:r>
        <w:rPr>
          <w:bCs/>
          <w:b/>
        </w:rPr>
        <w:t xml:space="preserve">Brand Sentiment in Dubai:</w:t>
      </w:r>
      <w:r>
        <w:t xml:space="preserve"> </w:t>
      </w:r>
      <w:r>
        <w:t xml:space="preserve">Track via social listening tools monitoring "best lawyer Dubai" mentions.</w:t>
      </w:r>
    </w:p>
    <w:bookmarkEnd w:id="30"/>
    <w:bookmarkStart w:id="31" w:name="conclusion-the-dubai-imperative"/>
    <w:p>
      <w:pPr>
        <w:pStyle w:val="Heading2"/>
      </w:pPr>
      <w:r>
        <w:t xml:space="preserve">Conclusion: The Dubai Imperative</w:t>
      </w:r>
    </w:p>
    <w:p>
      <w:pPr>
        <w:pStyle w:val="FirstParagraph"/>
      </w:pPr>
      <w:r>
        <w:t xml:space="preserve">This Marketing Plan positions our firm not merely as a service provider but as an indispensable partner for success within the United Arab Emirates Dubai ecosystem. By embedding our strategy in Dubai's unique legal and business culture – from understanding DIFC arbitration protocols to respecting Emirati business etiquette – we transform legal counsel into strategic competitive advantage. As Dubai accelerates toward its 2030 vision as a global commerce leader, this</w:t>
      </w:r>
      <w:r>
        <w:t xml:space="preserve"> </w:t>
      </w:r>
      <w:r>
        <w:rPr>
          <w:bCs/>
          <w:b/>
        </w:rPr>
        <w:t xml:space="preserve">Marketing Plan</w:t>
      </w:r>
      <w:r>
        <w:t xml:space="preserve"> </w:t>
      </w:r>
      <w:r>
        <w:t xml:space="preserve">ensures our</w:t>
      </w:r>
      <w:r>
        <w:t xml:space="preserve"> </w:t>
      </w:r>
      <w:r>
        <w:rPr>
          <w:bCs/>
          <w:b/>
        </w:rPr>
        <w:t xml:space="preserve">Lawyer</w:t>
      </w:r>
      <w:r>
        <w:t xml:space="preserve"> </w:t>
      </w:r>
      <w:r>
        <w:t xml:space="preserve">becomes the benchmark for excellence in navigating the complexities of UAE law. We commit to delivering not just legal outcomes, but confidence that fuels business growth across Dubai and beyond.</w:t>
      </w:r>
    </w:p>
    <w:p>
      <w:pPr>
        <w:pStyle w:val="BodyText"/>
      </w:pPr>
      <w:r>
        <w:rPr>
          <w:iCs/>
          <w:i/>
        </w:rPr>
        <w:t xml:space="preserve">Note: All strategies comply with UAE Legal Profession Regulations and Dubai Media City content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United Arab Emirates Dubai</dc:title>
  <dc:creator/>
  <dc:language>en</dc:language>
  <cp:keywords/>
  <dcterms:created xsi:type="dcterms:W3CDTF">2026-09-27T21:18:15Z</dcterms:created>
  <dcterms:modified xsi:type="dcterms:W3CDTF">2026-09-27T21:18:15Z</dcterms:modified>
</cp:coreProperties>
</file>

<file path=docProps/custom.xml><?xml version="1.0" encoding="utf-8"?>
<Properties xmlns="http://schemas.openxmlformats.org/officeDocument/2006/custom-properties" xmlns:vt="http://schemas.openxmlformats.org/officeDocument/2006/docPropsVTypes"/>
</file>