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Legal</w:t>
      </w:r>
      <w:r>
        <w:t xml:space="preserve"> </w:t>
      </w:r>
      <w:r>
        <w:t xml:space="preserve">Practice</w:t>
      </w:r>
      <w:r>
        <w:t xml:space="preserve"> </w:t>
      </w:r>
      <w:r>
        <w:t xml:space="preserve">in</w:t>
      </w:r>
      <w:r>
        <w:t xml:space="preserve"> </w:t>
      </w:r>
      <w:r>
        <w:t xml:space="preserve">United</w:t>
      </w:r>
      <w:r>
        <w:t xml:space="preserve"> </w:t>
      </w:r>
      <w:r>
        <w:t xml:space="preserve">States</w:t>
      </w:r>
      <w:r>
        <w:t xml:space="preserve"> </w:t>
      </w:r>
      <w:r>
        <w:t xml:space="preserve">Miami</w:t>
      </w:r>
    </w:p>
    <w:bookmarkStart w:id="32" w:name="Xdaf218b69dfda98fd8ad1f149f2e273fa7d874c"/>
    <w:p>
      <w:pPr>
        <w:pStyle w:val="Heading1"/>
      </w:pPr>
      <w:r>
        <w:t xml:space="preserve">Comprehensive Marketing Plan for a Leading Lawyer in United States Miami</w:t>
      </w:r>
    </w:p>
    <w:bookmarkStart w:id="20" w:name="executive-summary"/>
    <w:p>
      <w:pPr>
        <w:pStyle w:val="Heading2"/>
      </w:pPr>
      <w:r>
        <w:t xml:space="preserve">Executive Summary</w:t>
      </w:r>
    </w:p>
    <w:p>
      <w:pPr>
        <w:pStyle w:val="FirstParagraph"/>
      </w:pPr>
      <w:r>
        <w:t xml:space="preserve">This Marketing Plan outlines a strategic approach for establishing and growing a premier legal practice in the competitive United States Miami market. As the second-largest city in Florida with over 6 million residents and a thriving international business hub, Miami demands specialized legal services that address unique regional challenges. This plan targets high-demand practice areas including immigration, corporate law, personal injury, and family law—sectors where a well-positioned</w:t>
      </w:r>
      <w:r>
        <w:t xml:space="preserve"> </w:t>
      </w:r>
      <w:r>
        <w:rPr>
          <w:bCs/>
          <w:b/>
        </w:rPr>
        <w:t xml:space="preserve">Lawyer</w:t>
      </w:r>
      <w:r>
        <w:t xml:space="preserve"> </w:t>
      </w:r>
      <w:r>
        <w:t xml:space="preserve">can capture significant market share. Our strategy leverages Miami's cultural diversity and economic dynamics to position the firm as the go-to legal partner for individuals and businesses navigating complex regulations in</w:t>
      </w:r>
      <w:r>
        <w:t xml:space="preserve"> </w:t>
      </w:r>
      <w:r>
        <w:rPr>
          <w:bCs/>
          <w:b/>
        </w:rPr>
        <w:t xml:space="preserve">United States Miami</w:t>
      </w:r>
      <w:r>
        <w:t xml:space="preserve">. The plan outlines actionable tactics to achieve 40% client acquisition growth within 18 months while building lasting community trust.</w:t>
      </w:r>
    </w:p>
    <w:bookmarkEnd w:id="20"/>
    <w:bookmarkStart w:id="21" w:name="Xe389554cb5ca958cd2f45bfabbd766d1b5c3be9"/>
    <w:p>
      <w:pPr>
        <w:pStyle w:val="Heading2"/>
      </w:pPr>
      <w:r>
        <w:t xml:space="preserve">Situation Analysis: Miami Legal Market Overview</w:t>
      </w:r>
    </w:p>
    <w:p>
      <w:pPr>
        <w:pStyle w:val="FirstParagraph"/>
      </w:pPr>
      <w:r>
        <w:t xml:space="preserve">Miami's legal landscape is defined by its global connectivity—35% of residents are foreign-born, and the city serves as a primary gateway for Latin American business. This creates exceptional demand for bilingual legal services (particularly Spanish/English), immigration expertise, and international transactional law. According to Florida Bar statistics, 28% of Miami attorneys specialize in family or personal injury law—indicating high consumer need but also intense competition. The</w:t>
      </w:r>
      <w:r>
        <w:t xml:space="preserve"> </w:t>
      </w:r>
      <w:r>
        <w:rPr>
          <w:bCs/>
          <w:b/>
        </w:rPr>
        <w:t xml:space="preserve">Lawyer</w:t>
      </w:r>
      <w:r>
        <w:t xml:space="preserve"> </w:t>
      </w:r>
      <w:r>
        <w:t xml:space="preserve">must differentiate through hyper-localized knowledge: understanding Miami-Dade County’s unique court procedures, local ordinances (e.g., coastal property laws), and cultural nuances that affect client engagement.</w:t>
      </w:r>
    </w:p>
    <w:p>
      <w:pPr>
        <w:pStyle w:val="BodyText"/>
      </w:pPr>
      <w:r>
        <w:t xml:space="preserve">A key opportunity exists in the $2.1B Miami immigration legal market, where 65% of non-citizens lack representation due to cost barriers. Additionally, corporate clients face regulatory challenges under Florida’s 2023 Business Transparency Act—creating demand for proactive legal counsel. Failure to address these specifics would relegate a</w:t>
      </w:r>
      <w:r>
        <w:t xml:space="preserve"> </w:t>
      </w:r>
      <w:r>
        <w:rPr>
          <w:bCs/>
          <w:b/>
        </w:rPr>
        <w:t xml:space="preserve">Lawyer</w:t>
      </w:r>
      <w:r>
        <w:t xml:space="preserve"> </w:t>
      </w:r>
      <w:r>
        <w:t xml:space="preserve">to competing solely on price in an overcrowded market.</w:t>
      </w:r>
    </w:p>
    <w:bookmarkEnd w:id="21"/>
    <w:bookmarkStart w:id="22" w:name="marketing-objectives"/>
    <w:p>
      <w:pPr>
        <w:pStyle w:val="Heading2"/>
      </w:pPr>
      <w:r>
        <w:t xml:space="preserve">Marketing Objectives</w:t>
      </w:r>
    </w:p>
    <w:p>
      <w:pPr>
        <w:numPr>
          <w:ilvl w:val="0"/>
          <w:numId w:val="1001"/>
        </w:numPr>
        <w:pStyle w:val="Compact"/>
      </w:pPr>
      <w:r>
        <w:rPr>
          <w:bCs/>
          <w:b/>
        </w:rPr>
        <w:t xml:space="preserve">Acquisition:</w:t>
      </w:r>
      <w:r>
        <w:t xml:space="preserve"> </w:t>
      </w:r>
      <w:r>
        <w:t xml:space="preserve">Secure 150 new clients within 18 months (35% from referrals, 40% digital leads, 25% community partnerships).</w:t>
      </w:r>
    </w:p>
    <w:p>
      <w:pPr>
        <w:numPr>
          <w:ilvl w:val="0"/>
          <w:numId w:val="1001"/>
        </w:numPr>
        <w:pStyle w:val="Compact"/>
      </w:pPr>
      <w:r>
        <w:rPr>
          <w:bCs/>
          <w:b/>
        </w:rPr>
        <w:t xml:space="preserve">Brand Positioning:</w:t>
      </w:r>
      <w:r>
        <w:t xml:space="preserve"> </w:t>
      </w:r>
      <w:r>
        <w:t xml:space="preserve">Achieve &gt;85% brand recall among Miami businesses and English/Spanish-speaking residents through targeted awareness campaigns.</w:t>
      </w:r>
    </w:p>
    <w:p>
      <w:pPr>
        <w:numPr>
          <w:ilvl w:val="0"/>
          <w:numId w:val="1001"/>
        </w:numPr>
        <w:pStyle w:val="Compact"/>
      </w:pPr>
      <w:r>
        <w:rPr>
          <w:bCs/>
          <w:b/>
        </w:rPr>
        <w:t xml:space="preserve">Retention:</w:t>
      </w:r>
      <w:r>
        <w:t xml:space="preserve"> </w:t>
      </w:r>
      <w:r>
        <w:t xml:space="preserve">Maintain 75% client retention rate via personalized relationship management, exceeding the industry average of 60%.</w:t>
      </w:r>
    </w:p>
    <w:bookmarkEnd w:id="22"/>
    <w:bookmarkStart w:id="23" w:name="target-audience-segmentation"/>
    <w:p>
      <w:pPr>
        <w:pStyle w:val="Heading2"/>
      </w:pPr>
      <w:r>
        <w:t xml:space="preserve">Target Audience Segmentation</w:t>
      </w:r>
    </w:p>
    <w:p>
      <w:pPr>
        <w:pStyle w:val="FirstParagraph"/>
      </w:pPr>
      <w:r>
        <w:t xml:space="preserve">The plan identifies three high-value segments in United States Miami:</w:t>
      </w:r>
    </w:p>
    <w:p>
      <w:pPr>
        <w:numPr>
          <w:ilvl w:val="0"/>
          <w:numId w:val="1002"/>
        </w:numPr>
        <w:pStyle w:val="Compact"/>
      </w:pPr>
      <w:r>
        <w:rPr>
          <w:bCs/>
          <w:b/>
        </w:rPr>
        <w:t xml:space="preserve">International Entrepreneurs (40% of target):</w:t>
      </w:r>
      <w:r>
        <w:t xml:space="preserve"> </w:t>
      </w:r>
      <w:r>
        <w:t xml:space="preserve">Immigrant business owners navigating visas, LLC formation, and cross-border disputes. They prioritize bilingual counsel with Miami-specific regulatory knowledge.</w:t>
      </w:r>
    </w:p>
    <w:p>
      <w:pPr>
        <w:numPr>
          <w:ilvl w:val="0"/>
          <w:numId w:val="1002"/>
        </w:numPr>
        <w:pStyle w:val="Compact"/>
      </w:pPr>
      <w:r>
        <w:rPr>
          <w:bCs/>
          <w:b/>
        </w:rPr>
        <w:t xml:space="preserve">Family &amp; Personal Injury Clients (35% of target):</w:t>
      </w:r>
      <w:r>
        <w:t xml:space="preserve"> </w:t>
      </w:r>
      <w:r>
        <w:t xml:space="preserve">Residents facing divorce, child custody battles, or accident claims—often requiring immediate local attorney availability. This group responds strongly to community visibility.</w:t>
      </w:r>
    </w:p>
    <w:p>
      <w:pPr>
        <w:numPr>
          <w:ilvl w:val="0"/>
          <w:numId w:val="1002"/>
        </w:numPr>
        <w:pStyle w:val="Compact"/>
      </w:pPr>
      <w:r>
        <w:rPr>
          <w:bCs/>
          <w:b/>
        </w:rPr>
        <w:t xml:space="preserve">Corporate Compliance Seekers (25% of target):</w:t>
      </w:r>
      <w:r>
        <w:t xml:space="preserve"> </w:t>
      </w:r>
      <w:r>
        <w:t xml:space="preserve">Miami-based companies needing guidance on Florida labor laws, real estate regulations, and international trade compliance.</w:t>
      </w:r>
    </w:p>
    <w:bookmarkEnd w:id="23"/>
    <w:bookmarkStart w:id="27" w:name="strategic-marketing-tactics"/>
    <w:p>
      <w:pPr>
        <w:pStyle w:val="Heading2"/>
      </w:pPr>
      <w:r>
        <w:t xml:space="preserve">Strategic Marketing Tactics</w:t>
      </w:r>
    </w:p>
    <w:bookmarkStart w:id="24" w:name="X06ea68ab16f07a5ce3ef7fc9cb74d398c728eb0"/>
    <w:p>
      <w:pPr>
        <w:pStyle w:val="Heading3"/>
      </w:pPr>
      <w:r>
        <w:t xml:space="preserve">Digital Dominance: Miami-First Online Presence</w:t>
      </w:r>
    </w:p>
    <w:p>
      <w:pPr>
        <w:pStyle w:val="FirstParagraph"/>
      </w:pPr>
      <w:r>
        <w:t xml:space="preserve">A mobile-optimized website with bilingual content (English/Spanish) will be central to this plan. SEO tactics will target high-intent local keywords like "immigration lawyer Miami Beach," "family law attorney Dadeland," and "personal injury lawyer South Florida." The</w:t>
      </w:r>
      <w:r>
        <w:t xml:space="preserve"> </w:t>
      </w:r>
      <w:r>
        <w:rPr>
          <w:bCs/>
          <w:b/>
        </w:rPr>
        <w:t xml:space="preserve">Lawyer</w:t>
      </w:r>
      <w:r>
        <w:t xml:space="preserve"> </w:t>
      </w:r>
      <w:r>
        <w:t xml:space="preserve">will publish monthly blog posts on Miami-specific topics (e.g., "How Hurricane Season Impacts Property Laws in Coral Gables" or "2024 Changes to Florida Immigration Visas"). A strategic partnership with Miami-Dade County’s official tourism site ensures referral traffic from international visitors seeking legal support.</w:t>
      </w:r>
    </w:p>
    <w:bookmarkEnd w:id="24"/>
    <w:bookmarkStart w:id="25" w:name="Xb9d7ba8490840bbbf3bbe02a8f4c2896d3cb5b6"/>
    <w:p>
      <w:pPr>
        <w:pStyle w:val="Heading3"/>
      </w:pPr>
      <w:r>
        <w:t xml:space="preserve">Community Integration: Becoming Miami's Trusted Legal Voice</w:t>
      </w:r>
    </w:p>
    <w:p>
      <w:pPr>
        <w:pStyle w:val="FirstParagraph"/>
      </w:pPr>
      <w:r>
        <w:t xml:space="preserve">Beyond digital, the firm will embed itself in Miami communities through:</w:t>
      </w:r>
    </w:p>
    <w:p>
      <w:pPr>
        <w:numPr>
          <w:ilvl w:val="0"/>
          <w:numId w:val="1003"/>
        </w:numPr>
        <w:pStyle w:val="Compact"/>
      </w:pPr>
      <w:r>
        <w:t xml:space="preserve">Monthly free workshops at libraries (e.g., "Navigating Florida Divorce Laws" at Central Library) and cultural centers (e.g., Little Havana’s Cuban American Cultural Center).</w:t>
      </w:r>
    </w:p>
    <w:p>
      <w:pPr>
        <w:numPr>
          <w:ilvl w:val="0"/>
          <w:numId w:val="1003"/>
        </w:numPr>
        <w:pStyle w:val="Compact"/>
      </w:pPr>
      <w:r>
        <w:t xml:space="preserve">Sponsorship of 3 major Miami events annually: Latinx Business Summit, Miami International Film Festival, and South Beach Food &amp; Wine Experience.</w:t>
      </w:r>
    </w:p>
    <w:p>
      <w:pPr>
        <w:numPr>
          <w:ilvl w:val="0"/>
          <w:numId w:val="1003"/>
        </w:numPr>
        <w:pStyle w:val="Compact"/>
      </w:pPr>
      <w:r>
        <w:t xml:space="preserve">Collaboration with local charities like The Miami Foundation to offer pro bono services for vulnerable populations—building goodwill while showcasing expertise.</w:t>
      </w:r>
    </w:p>
    <w:bookmarkEnd w:id="25"/>
    <w:bookmarkStart w:id="26" w:name="Xc1a7ac48624925537ec2c76bb51128ace175b0d"/>
    <w:p>
      <w:pPr>
        <w:pStyle w:val="Heading3"/>
      </w:pPr>
      <w:r>
        <w:t xml:space="preserve">Referral Ecosystem: Leveraging Miami's Network Culture</w:t>
      </w:r>
    </w:p>
    <w:p>
      <w:pPr>
        <w:pStyle w:val="FirstParagraph"/>
      </w:pPr>
      <w:r>
        <w:t xml:space="preserve">Miami thrives on personal referrals. The plan includes:</w:t>
      </w:r>
    </w:p>
    <w:p>
      <w:pPr>
        <w:numPr>
          <w:ilvl w:val="0"/>
          <w:numId w:val="1004"/>
        </w:numPr>
        <w:pStyle w:val="Compact"/>
      </w:pPr>
      <w:r>
        <w:t xml:space="preserve">A "Refer a Friend" program offering $150 credit for successful client introductions to real estate agents, accountants, and bilingual community leaders.</w:t>
      </w:r>
    </w:p>
    <w:p>
      <w:pPr>
        <w:numPr>
          <w:ilvl w:val="0"/>
          <w:numId w:val="1004"/>
        </w:numPr>
        <w:pStyle w:val="Compact"/>
      </w:pPr>
      <w:r>
        <w:t xml:space="preserve">Strategic alliances with 20+ Miami-based non-legal businesses (e.g., international relocation firms) for reciprocal referrals.</w:t>
      </w:r>
    </w:p>
    <w:p>
      <w:pPr>
        <w:numPr>
          <w:ilvl w:val="0"/>
          <w:numId w:val="1004"/>
        </w:numPr>
        <w:pStyle w:val="Compact"/>
      </w:pPr>
      <w:r>
        <w:t xml:space="preserve">Quarterly client appreciation events at iconic venues like Joe’s Stone Crab—reinforcing the firm as part of Miami’s social fabric.</w:t>
      </w:r>
    </w:p>
    <w:bookmarkEnd w:id="26"/>
    <w:bookmarkEnd w:id="27"/>
    <w:bookmarkStart w:id="28"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 (%)</w:t>
            </w:r>
          </w:p>
        </w:tc>
        <w:tc>
          <w:tcPr/>
          <w:p>
            <w:pPr>
              <w:pStyle w:val="Compact"/>
              <w:jc w:val="left"/>
            </w:pPr>
            <w:r>
              <w:t xml:space="preserve">Key Activities</w:t>
            </w:r>
          </w:p>
        </w:tc>
      </w:tr>
      <w:tr>
        <w:tc>
          <w:tcPr/>
          <w:p>
            <w:pPr>
              <w:pStyle w:val="Compact"/>
              <w:jc w:val="left"/>
            </w:pPr>
            <w:r>
              <w:t xml:space="preserve">Digital Marketing (SEO, PPC, Content)</w:t>
            </w:r>
          </w:p>
        </w:tc>
        <w:tc>
          <w:tcPr/>
          <w:p>
            <w:pPr>
              <w:pStyle w:val="Compact"/>
              <w:jc w:val="left"/>
            </w:pPr>
            <w:r>
              <w:t xml:space="preserve">40%</w:t>
            </w:r>
          </w:p>
        </w:tc>
        <w:tc>
          <w:tcPr/>
          <w:p>
            <w:pPr>
              <w:pStyle w:val="Compact"/>
              <w:jc w:val="left"/>
            </w:pPr>
            <w:r>
              <w:t xml:space="preserve">Local SEO optimization, Google Ads targeting Miami ZIP codes, bilingual content creation.</w:t>
            </w:r>
          </w:p>
        </w:tc>
      </w:tr>
      <w:tr>
        <w:tc>
          <w:tcPr/>
          <w:p>
            <w:pPr>
              <w:pStyle w:val="Compact"/>
              <w:jc w:val="left"/>
            </w:pPr>
            <w:r>
              <w:t xml:space="preserve">Community Engagement</w:t>
            </w:r>
          </w:p>
        </w:tc>
        <w:tc>
          <w:tcPr/>
          <w:p>
            <w:pPr>
              <w:pStyle w:val="Compact"/>
              <w:jc w:val="left"/>
            </w:pPr>
            <w:r>
              <w:t xml:space="preserve">30%</w:t>
            </w:r>
          </w:p>
        </w:tc>
        <w:tc>
          <w:tcPr/>
          <w:p>
            <w:pPr>
              <w:pStyle w:val="Compact"/>
              <w:jc w:val="left"/>
            </w:pPr>
            <w:r>
              <w:t xml:space="preserve">Sponsorships, workshop production, event participation.</w:t>
            </w:r>
          </w:p>
        </w:tc>
      </w:tr>
      <w:tr>
        <w:tc>
          <w:tcPr/>
          <w:p>
            <w:pPr>
              <w:pStyle w:val="Compact"/>
              <w:jc w:val="left"/>
            </w:pPr>
            <w:r>
              <w:t xml:space="preserve">Referral Programs</w:t>
            </w:r>
          </w:p>
        </w:tc>
        <w:tc>
          <w:tcPr/>
          <w:p>
            <w:pPr>
              <w:pStyle w:val="Compact"/>
              <w:jc w:val="left"/>
            </w:pPr>
            <w:r>
              <w:t xml:space="preserve">20%</w:t>
            </w:r>
          </w:p>
        </w:tc>
        <w:tc>
          <w:tcPr/>
          <w:p>
            <w:pPr>
              <w:pStyle w:val="Compact"/>
              <w:jc w:val="left"/>
            </w:pPr>
            <w:r>
              <w:rPr>
                <w:bCs/>
                <w:b/>
              </w:rPr>
              <w:t xml:space="preserve">Miami-specific referral incentives and partnership management</w:t>
            </w:r>
          </w:p>
        </w:tc>
      </w:tr>
      <w:tr>
        <w:tc>
          <w:tcPr/>
          <w:p>
            <w:pPr>
              <w:pStyle w:val="Compact"/>
              <w:jc w:val="left"/>
            </w:pPr>
            <w:r>
              <w:t xml:space="preserve">Branding &amp; Materials</w:t>
            </w:r>
          </w:p>
        </w:tc>
        <w:tc>
          <w:tcPr/>
          <w:p>
            <w:pPr>
              <w:pStyle w:val="Compact"/>
              <w:jc w:val="left"/>
            </w:pPr>
            <w:r>
              <w:t xml:space="preserve">10%</w:t>
            </w:r>
          </w:p>
        </w:tc>
        <w:tc>
          <w:tcPr/>
          <w:p>
            <w:pPr>
              <w:pStyle w:val="Compact"/>
              <w:jc w:val="left"/>
            </w:pPr>
            <w:r>
              <w:t xml:space="preserve">Bilingual brochures, business cards in Spanish/English, professional videos.</w:t>
            </w:r>
          </w:p>
        </w:tc>
      </w:tr>
    </w:tbl>
    <w:bookmarkEnd w:id="28"/>
    <w:bookmarkStart w:id="29" w:name="implementation-timeline"/>
    <w:p>
      <w:pPr>
        <w:pStyle w:val="Heading2"/>
      </w:pPr>
      <w:r>
        <w:t xml:space="preserve">Implementation Timeline</w:t>
      </w:r>
    </w:p>
    <w:p>
      <w:pPr>
        <w:pStyle w:val="FirstParagraph"/>
      </w:pPr>
      <w:r>
        <w:rPr>
          <w:bCs/>
          <w:b/>
        </w:rPr>
        <w:t xml:space="preserve">Miami Q1:</w:t>
      </w:r>
      <w:r>
        <w:t xml:space="preserve"> </w:t>
      </w:r>
      <w:r>
        <w:t xml:space="preserve">Launch bilingual website; secure 3 community partnership agreements; begin SEO foundation.</w:t>
      </w:r>
    </w:p>
    <w:p>
      <w:pPr>
        <w:pStyle w:val="BodyText"/>
      </w:pPr>
      <w:r>
        <w:rPr>
          <w:bCs/>
          <w:b/>
        </w:rPr>
        <w:t xml:space="preserve">Miami Q2:</w:t>
      </w:r>
      <w:r>
        <w:t xml:space="preserve"> </w:t>
      </w:r>
      <w:r>
        <w:t xml:space="preserve">Host first workshop (Little Havana); deploy Google Ads campaign targeting Miami-Dade ZIPs 33101-33204; launch referral program.</w:t>
      </w:r>
    </w:p>
    <w:p>
      <w:pPr>
        <w:pStyle w:val="BodyText"/>
      </w:pPr>
      <w:r>
        <w:rPr>
          <w:bCs/>
          <w:b/>
        </w:rPr>
        <w:t xml:space="preserve">Miami Q3:</w:t>
      </w:r>
      <w:r>
        <w:t xml:space="preserve"> </w:t>
      </w:r>
      <w:r>
        <w:t xml:space="preserve">Sponsor Miami International Film Festival; publish 12 blog posts on local legal topics; initiate corporate outreach to Brickell Avenue businesses.</w:t>
      </w:r>
    </w:p>
    <w:p>
      <w:pPr>
        <w:pStyle w:val="BodyText"/>
      </w:pPr>
      <w:r>
        <w:rPr>
          <w:bCs/>
          <w:b/>
        </w:rPr>
        <w:t xml:space="preserve">Miami Q4:</w:t>
      </w:r>
      <w:r>
        <w:t xml:space="preserve"> </w:t>
      </w:r>
      <w:r>
        <w:t xml:space="preserve">Host client appreciation event at South Beach venue; analyze lead sources to refine strategy for Year 2.</w:t>
      </w:r>
    </w:p>
    <w:bookmarkEnd w:id="29"/>
    <w:bookmarkStart w:id="30" w:name="evaluation-metrics"/>
    <w:p>
      <w:pPr>
        <w:pStyle w:val="Heading2"/>
      </w:pPr>
      <w:r>
        <w:t xml:space="preserve">Evaluation Metrics</w:t>
      </w:r>
    </w:p>
    <w:p>
      <w:pPr>
        <w:pStyle w:val="FirstParagraph"/>
      </w:pPr>
      <w:r>
        <w:t xml:space="preserve">Success will be measured through:</w:t>
      </w:r>
    </w:p>
    <w:p>
      <w:pPr>
        <w:numPr>
          <w:ilvl w:val="0"/>
          <w:numId w:val="1005"/>
        </w:numPr>
        <w:pStyle w:val="Compact"/>
      </w:pPr>
      <w:r>
        <w:rPr>
          <w:bCs/>
          <w:b/>
        </w:rPr>
        <w:t xml:space="preserve">Lead Quality:</w:t>
      </w:r>
      <w:r>
        <w:t xml:space="preserve"> </w:t>
      </w:r>
      <w:r>
        <w:t xml:space="preserve">Tracking Miami-specific keywords (e.g., "Miami lawyer" vs. generic "lawyer") in Google Analytics.</w:t>
      </w:r>
    </w:p>
    <w:p>
      <w:pPr>
        <w:numPr>
          <w:ilvl w:val="0"/>
          <w:numId w:val="1005"/>
        </w:numPr>
        <w:pStyle w:val="Compact"/>
      </w:pPr>
      <w:r>
        <w:rPr>
          <w:bCs/>
          <w:b/>
        </w:rPr>
        <w:t xml:space="preserve">Community Impact:</w:t>
      </w:r>
      <w:r>
        <w:t xml:space="preserve"> </w:t>
      </w:r>
      <w:r>
        <w:t xml:space="preserve">Measuring workshop attendance and social media engagement within Miami neighborhoods (e.g., #MiamiLegal).</w:t>
      </w:r>
    </w:p>
    <w:p>
      <w:pPr>
        <w:numPr>
          <w:ilvl w:val="0"/>
          <w:numId w:val="1005"/>
        </w:numPr>
        <w:pStyle w:val="Compact"/>
      </w:pPr>
      <w:r>
        <w:rPr>
          <w:bCs/>
          <w:b/>
        </w:rPr>
        <w:t xml:space="preserve">Economic ROI:</w:t>
      </w:r>
      <w:r>
        <w:t xml:space="preserve"> </w:t>
      </w:r>
      <w:r>
        <w:t xml:space="preserve">Calculating cost per qualified lead from each channel—prioritizing tactics yielding &gt;$1,200 in client value per lead.</w:t>
      </w:r>
    </w:p>
    <w:bookmarkEnd w:id="30"/>
    <w:bookmarkStart w:id="31" w:name="Xd4ca824b1255cf2c1afa67e9fdec1a3d17d54e4"/>
    <w:p>
      <w:pPr>
        <w:pStyle w:val="Heading2"/>
      </w:pPr>
      <w:r>
        <w:t xml:space="preserve">Conclusion: Why Miami Demands This Approach</w:t>
      </w:r>
    </w:p>
    <w:p>
      <w:pPr>
        <w:pStyle w:val="FirstParagraph"/>
      </w:pPr>
      <w:r>
        <w:t xml:space="preserve">In the United States Miami market, generic marketing fails. A successful</w:t>
      </w:r>
      <w:r>
        <w:t xml:space="preserve"> </w:t>
      </w:r>
      <w:r>
        <w:rPr>
          <w:bCs/>
          <w:b/>
        </w:rPr>
        <w:t xml:space="preserve">Lawyer</w:t>
      </w:r>
      <w:r>
        <w:t xml:space="preserve"> </w:t>
      </w:r>
      <w:r>
        <w:t xml:space="preserve">must operate as a local institution—not just a service provider. This Marketing Plan embeds the practice within Miami’s cultural, economic, and geographic identity through hyper-targeted digital strategies, community stewardship, and relationship-driven growth. By consistently demonstrating deep Miami expertise—whether in Spanish-speaking neighborhoods or Brickell’s corporate towers—the</w:t>
      </w:r>
      <w:r>
        <w:t xml:space="preserve"> </w:t>
      </w:r>
      <w:r>
        <w:rPr>
          <w:bCs/>
          <w:b/>
        </w:rPr>
        <w:t xml:space="preserve">Lawyer</w:t>
      </w:r>
      <w:r>
        <w:t xml:space="preserve"> </w:t>
      </w:r>
      <w:r>
        <w:t xml:space="preserve">will transform from a vendor into an indispensable partner. This isn’t merely about acquiring clients; it’s about becoming synonymous with trustworthy legal guidance across the diverse landscape of United States Miami. With this focused strategy, the firm will not only thrive but define excellence in local legal practice.</w:t>
      </w:r>
    </w:p>
    <w:p>
      <w:pPr>
        <w:pStyle w:val="BodyText"/>
      </w:pPr>
      <w:r>
        <w:rPr>
          <w:bCs/>
          <w:b/>
        </w:rPr>
        <w:t xml:space="preserve">Total Word Count: 928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Legal Practice in United States Miami</dc:title>
  <dc:creator/>
  <dc:language>en</dc:language>
  <cp:keywords/>
  <dcterms:created xsi:type="dcterms:W3CDTF">2026-07-24T04:06:06Z</dcterms:created>
  <dcterms:modified xsi:type="dcterms:W3CDTF">2026-07-24T04:06:06Z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