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8af2af05e4139d11f09a3f8218a578d5815eeea"/>
    <w:p>
      <w:pPr>
        <w:pStyle w:val="Heading1"/>
      </w:pPr>
      <w:r>
        <w:t xml:space="preserve">Comprehensive Marketing Plan for Librarian Services in Egypt Alexandria</w:t>
      </w:r>
    </w:p>
    <w:bookmarkStart w:id="20" w:name="executive-summary"/>
    <w:p>
      <w:pPr>
        <w:pStyle w:val="Heading2"/>
      </w:pPr>
      <w:r>
        <w:t xml:space="preserve">1. Executive Summary</w:t>
      </w:r>
    </w:p>
    <w:p>
      <w:pPr>
        <w:pStyle w:val="FirstParagraph"/>
      </w:pPr>
      <w:r>
        <w:t xml:space="preserve">This Marketing Plan outlines a strategic roadmap for establishing and promoting innovative librarian services across Egypt Alexandria. Recognizing Alexandria's status as a cultural and educational hub, this plan targets the city's diverse population of students, researchers, professionals, and lifelong learners. The core objective is to position our Librarian service as the premier knowledge access point in Egypt Alexandria through digital transformation, community engagement, and culturally relevant programming. With 15 million residents in Greater Alexandria and over 100 educational institutions within the city limits, this initiative addresses critical gaps in information accessibility while honoring Egypt's rich scholarly heritage.</w:t>
      </w:r>
    </w:p>
    <w:bookmarkEnd w:id="20"/>
    <w:bookmarkStart w:id="21" w:name="market-analysis-egypt-alexandria-context"/>
    <w:p>
      <w:pPr>
        <w:pStyle w:val="Heading2"/>
      </w:pPr>
      <w:r>
        <w:t xml:space="preserve">2. Market Analysis: Egypt Alexandria Context</w:t>
      </w:r>
    </w:p>
    <w:p>
      <w:pPr>
        <w:pStyle w:val="FirstParagraph"/>
      </w:pPr>
      <w:r>
        <w:t xml:space="preserve">Egypt Alexandria presents unique opportunities and challenges for librarian services. The city hosts 56 universities and colleges, including the prestigious Alexandria University (founded 1937), yet many students struggle with limited physical resources. A 2023 Ministry of Education report revealed only 45% of public schools in Alexandria have functional libraries, creating a significant demand for alternative knowledge access. Competitor analysis shows traditional library services are underutilized due to outdated infrastructure and insufficient digital integration.</w:t>
      </w:r>
    </w:p>
    <w:p>
      <w:pPr>
        <w:pStyle w:val="BodyText"/>
      </w:pPr>
      <w:r>
        <w:t xml:space="preserve">Key target segments include:</w:t>
      </w:r>
    </w:p>
    <w:p>
      <w:pPr>
        <w:numPr>
          <w:ilvl w:val="0"/>
          <w:numId w:val="1001"/>
        </w:numPr>
        <w:pStyle w:val="Compact"/>
      </w:pPr>
      <w:r>
        <w:rPr>
          <w:bCs/>
          <w:b/>
        </w:rPr>
        <w:t xml:space="preserve">University Students (35%):</w:t>
      </w:r>
      <w:r>
        <w:t xml:space="preserve"> </w:t>
      </w:r>
      <w:r>
        <w:t xml:space="preserve">Seeking research materials beyond physical collections</w:t>
      </w:r>
    </w:p>
    <w:p>
      <w:pPr>
        <w:numPr>
          <w:ilvl w:val="0"/>
          <w:numId w:val="1001"/>
        </w:numPr>
        <w:pStyle w:val="Compact"/>
      </w:pPr>
      <w:r>
        <w:rPr>
          <w:bCs/>
          <w:b/>
        </w:rPr>
        <w:t xml:space="preserve">Local Researchers (28%):</w:t>
      </w:r>
      <w:r>
        <w:t xml:space="preserve"> </w:t>
      </w:r>
      <w:r>
        <w:t xml:space="preserve">Requiring specialized academic databases and historical archives</w:t>
      </w:r>
    </w:p>
    <w:p>
      <w:pPr>
        <w:numPr>
          <w:ilvl w:val="0"/>
          <w:numId w:val="1001"/>
        </w:numPr>
        <w:pStyle w:val="Compact"/>
      </w:pPr>
      <w:r>
        <w:rPr>
          <w:bCs/>
          <w:b/>
        </w:rPr>
        <w:t xml:space="preserve">Professional Community (22%):</w:t>
      </w:r>
      <w:r>
        <w:t xml:space="preserve"> </w:t>
      </w:r>
      <w:r>
        <w:t xml:space="preserve">Professionals needing industry publications and skill development resources</w:t>
      </w:r>
    </w:p>
    <w:p>
      <w:pPr>
        <w:numPr>
          <w:ilvl w:val="0"/>
          <w:numId w:val="1001"/>
        </w:numPr>
        <w:pStyle w:val="Compact"/>
      </w:pPr>
      <w:r>
        <w:rPr>
          <w:bCs/>
          <w:b/>
        </w:rPr>
        <w:t xml:space="preserve">Youth &amp; Seniors (15%):</w:t>
      </w:r>
      <w:r>
        <w:t xml:space="preserve"> </w:t>
      </w:r>
      <w:r>
        <w:t xml:space="preserve">Engaging underserved demographics through digital literacy programs</w:t>
      </w:r>
    </w:p>
    <w:bookmarkEnd w:id="21"/>
    <w:bookmarkStart w:id="22" w:name="Xacab69f9f2883f542cd64e2489d5f555e105334"/>
    <w:p>
      <w:pPr>
        <w:pStyle w:val="Heading2"/>
      </w:pPr>
      <w:r>
        <w:t xml:space="preserve">3. Marketing Objectives for Egypt Alexandria Librarian Services</w:t>
      </w:r>
    </w:p>
    <w:p>
      <w:pPr>
        <w:pStyle w:val="FirstParagraph"/>
      </w:pPr>
      <w:r>
        <w:t xml:space="preserve">We will achieve measurable outcomes within 18 months through these specific objectives:</w:t>
      </w:r>
    </w:p>
    <w:p>
      <w:pPr>
        <w:pStyle w:val="BodyText"/>
      </w:pPr>
      <w:r>
        <w:rPr>
          <w:bCs/>
          <w:b/>
        </w:rPr>
        <w:t xml:space="preserve">Brand Awareness:</w:t>
      </w:r>
      <w:r>
        <w:t xml:space="preserve"> </w:t>
      </w:r>
      <w:r>
        <w:t xml:space="preserve">Achieve 70% recognition among Alexandria's academic community within 12 months</w:t>
      </w:r>
    </w:p>
    <w:p>
      <w:pPr>
        <w:pStyle w:val="BodyText"/>
      </w:pPr>
      <w:r>
        <w:rPr>
          <w:bCs/>
          <w:b/>
        </w:rPr>
        <w:t xml:space="preserve">User Acquisition:</w:t>
      </w:r>
      <w:r>
        <w:t xml:space="preserve"> </w:t>
      </w:r>
      <w:r>
        <w:t xml:space="preserve">Recruit 5,000 active users by Month 18, with at least 35% from underserved neighborhoods</w:t>
      </w:r>
    </w:p>
    <w:p>
      <w:pPr>
        <w:numPr>
          <w:ilvl w:val="0"/>
          <w:numId w:val="1002"/>
        </w:numPr>
        <w:pStyle w:val="Compact"/>
      </w:pPr>
      <w:r>
        <w:t xml:space="preserve">Specific target: Reach communities like Hadra and Karmouz where library access is limited</w:t>
      </w:r>
    </w:p>
    <w:p>
      <w:pPr>
        <w:pStyle w:val="FirstParagraph"/>
      </w:pPr>
      <w:r>
        <w:rPr>
          <w:bCs/>
          <w:b/>
        </w:rPr>
        <w:t xml:space="preserve">Service Adoption:</w:t>
      </w:r>
      <w:r>
        <w:t xml:space="preserve"> </w:t>
      </w:r>
      <w:r>
        <w:t xml:space="preserve">Drive 60% of users to utilize digital librarian services (app-based resource requests)</w:t>
      </w:r>
    </w:p>
    <w:p>
      <w:pPr>
        <w:pStyle w:val="BodyText"/>
      </w:pPr>
      <w:r>
        <w:rPr>
          <w:bCs/>
          <w:b/>
        </w:rPr>
        <w:t xml:space="preserve">Cultural Integration:</w:t>
      </w:r>
      <w:r>
        <w:t xml:space="preserve"> </w:t>
      </w:r>
      <w:r>
        <w:t xml:space="preserve">Embed local Egyptian knowledge heritage into all service offerings (e.g., digitized manuscripts from Bibliotheca Alexandrina)</w:t>
      </w:r>
    </w:p>
    <w:bookmarkEnd w:id="22"/>
    <w:bookmarkStart w:id="26" w:name="core-marketing-strategies"/>
    <w:p>
      <w:pPr>
        <w:pStyle w:val="Heading2"/>
      </w:pPr>
      <w:r>
        <w:t xml:space="preserve">4. Core Marketing Strategies</w:t>
      </w:r>
    </w:p>
    <w:bookmarkStart w:id="23" w:name="hyperlocal-digital-transformation"/>
    <w:p>
      <w:pPr>
        <w:pStyle w:val="Heading3"/>
      </w:pPr>
      <w:r>
        <w:t xml:space="preserve">4.1 Hyperlocal Digital Transformation</w:t>
      </w:r>
    </w:p>
    <w:p>
      <w:pPr>
        <w:pStyle w:val="FirstParagraph"/>
      </w:pPr>
      <w:r>
        <w:t xml:space="preserve">We will deploy a multilingual librarian platform accessible via SMS, WhatsApp, and mobile app – critical for Alexandria's tech landscape where 89% of residents own smartphones (World Bank 2023). The service will feature:</w:t>
      </w:r>
    </w:p>
    <w:p>
      <w:pPr>
        <w:numPr>
          <w:ilvl w:val="0"/>
          <w:numId w:val="1003"/>
        </w:numPr>
        <w:pStyle w:val="Compact"/>
      </w:pPr>
      <w:r>
        <w:t xml:space="preserve">Arabic/French/English interface with Egyptian Arabic dialect support</w:t>
      </w:r>
    </w:p>
    <w:p>
      <w:pPr>
        <w:numPr>
          <w:ilvl w:val="0"/>
          <w:numId w:val="1003"/>
        </w:numPr>
        <w:pStyle w:val="Compact"/>
      </w:pPr>
      <w:r>
        <w:t xml:space="preserve">Real-time inventory tracking across Alexandria's library network</w:t>
      </w:r>
    </w:p>
    <w:p>
      <w:pPr>
        <w:numPr>
          <w:ilvl w:val="0"/>
          <w:numId w:val="1003"/>
        </w:numPr>
        <w:pStyle w:val="Compact"/>
      </w:pPr>
      <w:r>
        <w:t xml:space="preserve">AI-powered resource recommendations based on user profiles (e.g., medical students receiving latest WHO publications)</w:t>
      </w:r>
    </w:p>
    <w:bookmarkEnd w:id="23"/>
    <w:bookmarkStart w:id="24" w:name="community-centric-library-pop-up-program"/>
    <w:p>
      <w:pPr>
        <w:pStyle w:val="Heading3"/>
      </w:pPr>
      <w:r>
        <w:t xml:space="preserve">4.2 Community-Centric Library Pop-Up Program</w:t>
      </w:r>
    </w:p>
    <w:p>
      <w:pPr>
        <w:pStyle w:val="FirstParagraph"/>
      </w:pPr>
      <w:r>
        <w:t xml:space="preserve">To overcome physical access barriers, we launch "Librarian in Every Neighborhood" – mobile units visiting:</w:t>
      </w:r>
    </w:p>
    <w:p>
      <w:pPr>
        <w:numPr>
          <w:ilvl w:val="0"/>
          <w:numId w:val="1004"/>
        </w:numPr>
        <w:pStyle w:val="Compact"/>
      </w:pPr>
      <w:r>
        <w:t xml:space="preserve">Public parks (e.g., Ramleh Garden) for family literacy sessions</w:t>
      </w:r>
    </w:p>
    <w:p>
      <w:pPr>
        <w:numPr>
          <w:ilvl w:val="0"/>
          <w:numId w:val="1004"/>
        </w:numPr>
        <w:pStyle w:val="Compact"/>
      </w:pPr>
      <w:r>
        <w:t xml:space="preserve">Community centers in low-income districts (e.g., Sidi Gaber)</w:t>
      </w:r>
    </w:p>
    <w:p>
      <w:pPr>
        <w:numPr>
          <w:ilvl w:val="0"/>
          <w:numId w:val="1004"/>
        </w:numPr>
        <w:pStyle w:val="Compact"/>
      </w:pPr>
      <w:r>
        <w:t xml:space="preserve">University campuses during exam seasons</w:t>
      </w:r>
    </w:p>
    <w:p>
      <w:pPr>
        <w:pStyle w:val="FirstParagraph"/>
      </w:pPr>
      <w:r>
        <w:t xml:space="preserve">4.3 Cultural Partnership Ecosystem</w:t>
      </w:r>
    </w:p>
    <w:p>
      <w:pPr>
        <w:pStyle w:val="BodyText"/>
      </w:pPr>
      <w:r>
        <w:t xml:space="preserve">We forge strategic alliances with Alexandria's cultural institutions:</w:t>
      </w:r>
    </w:p>
    <w:p>
      <w:pPr>
        <w:numPr>
          <w:ilvl w:val="0"/>
          <w:numId w:val="1005"/>
        </w:numPr>
        <w:pStyle w:val="Compact"/>
      </w:pPr>
      <w:r>
        <w:rPr>
          <w:bCs/>
          <w:b/>
        </w:rPr>
        <w:t xml:space="preserve">Bibliotheca Alexandrina:</w:t>
      </w:r>
      <w:r>
        <w:t xml:space="preserve"> </w:t>
      </w:r>
      <w:r>
        <w:t xml:space="preserve">Co-hosting "Heritage Research Days" featuring rare Egyptian manuscripts</w:t>
      </w:r>
    </w:p>
    <w:p>
      <w:pPr>
        <w:numPr>
          <w:ilvl w:val="0"/>
          <w:numId w:val="1005"/>
        </w:numPr>
        <w:pStyle w:val="Compact"/>
      </w:pPr>
      <w:r>
        <w:rPr>
          <w:bCs/>
          <w:b/>
        </w:rPr>
        <w:t xml:space="preserve">Egyptian Museum (Alexandria):</w:t>
      </w:r>
      <w:r>
        <w:t xml:space="preserve"> </w:t>
      </w:r>
      <w:r>
        <w:t xml:space="preserve">Joint exhibitions connecting historical artifacts with library resources</w:t>
      </w:r>
    </w:p>
    <w:p>
      <w:pPr>
        <w:numPr>
          <w:ilvl w:val="0"/>
          <w:numId w:val="1005"/>
        </w:numPr>
        <w:pStyle w:val="Compact"/>
      </w:pPr>
      <w:r>
        <w:rPr>
          <w:bCs/>
          <w:b/>
        </w:rPr>
        <w:t xml:space="preserve">Local SME Associations:</w:t>
      </w:r>
      <w:r>
        <w:t xml:space="preserve"> </w:t>
      </w:r>
      <w:r>
        <w:t xml:space="preserve">Tailored business intelligence services for Alexandria's startup ecosystem</w:t>
      </w:r>
    </w:p>
    <w:bookmarkEnd w:id="24"/>
    <w:bookmarkStart w:id="25" w:name="X7f4399069b5b8bbcf2d858d5640c0ad0eebad02"/>
    <w:p>
      <w:pPr>
        <w:pStyle w:val="Heading3"/>
      </w:pPr>
      <w:r>
        <w:t xml:space="preserve">4.4 Social Media Engagement in Egypt Alexandria Context</w:t>
      </w:r>
    </w:p>
    <w:p>
      <w:pPr>
        <w:pStyle w:val="FirstParagraph"/>
      </w:pPr>
      <w:r>
        <w:t xml:space="preserve">Leveraging Alexandria's vibrant digital culture:</w:t>
      </w:r>
    </w:p>
    <w:p>
      <w:pPr>
        <w:numPr>
          <w:ilvl w:val="0"/>
          <w:numId w:val="1006"/>
        </w:numPr>
        <w:pStyle w:val="Compact"/>
      </w:pPr>
      <w:r>
        <w:t xml:space="preserve">Daily "Did You Know?" posts featuring Egyptian scholars (e.g., Al-Khazraji, Ibn Khaldun)</w:t>
      </w:r>
    </w:p>
    <w:p>
      <w:pPr>
        <w:numPr>
          <w:ilvl w:val="0"/>
          <w:numId w:val="1006"/>
        </w:numPr>
        <w:pStyle w:val="Compact"/>
      </w:pPr>
      <w:r>
        <w:t xml:space="preserve">Instagram Reels showcasing library treasures from Alexandria's history</w:t>
      </w:r>
    </w:p>
    <w:p>
      <w:pPr>
        <w:numPr>
          <w:ilvl w:val="0"/>
          <w:numId w:val="1006"/>
        </w:numPr>
        <w:pStyle w:val="Compact"/>
      </w:pPr>
      <w:r>
        <w:t xml:space="preserve">Facebook groups for Alexandria-based researchers with exclusive resource access</w:t>
      </w:r>
    </w:p>
    <w:bookmarkEnd w:id="25"/>
    <w:bookmarkEnd w:id="26"/>
    <w:bookmarkStart w:id="27" w:name="budget-allocation-18-month-timeline"/>
    <w:p>
      <w:pPr>
        <w:pStyle w:val="Heading2"/>
      </w:pPr>
      <w:r>
        <w:t xml:space="preserve">5. Budget Allocation (18-Month Timeline)</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Platform Development</w:t>
      </w:r>
    </w:p>
    <w:p>
      <w:pPr>
        <w:pStyle w:val="BodyText"/>
      </w:pPr>
      <w:r>
        <w:t xml:space="preserve">35%</w:t>
      </w:r>
    </w:p>
    <w:p>
      <w:pPr>
        <w:pStyle w:val="BodyText"/>
      </w:pPr>
      <w:r>
        <w:t xml:space="preserve">Critical for Egypt Alexandria's tech-savvy population; enables 24/7 access</w:t>
      </w:r>
    </w:p>
    <w:p>
      <w:pPr>
        <w:pStyle w:val="BodyText"/>
      </w:pPr>
      <w:r>
        <w:t xml:space="preserve">Mobile Library Units (Pop-Ups)</w:t>
      </w:r>
    </w:p>
    <w:p>
      <w:pPr>
        <w:pStyle w:val="BodyText"/>
      </w:pPr>
      <w:r>
        <w:t xml:space="preserve">28%</w:t>
      </w:r>
    </w:p>
    <w:p>
      <w:pPr>
        <w:pStyle w:val="BodyText"/>
      </w:pPr>
      <w:r>
        <w:t xml:space="preserve">Reaches underserved communities in Alexandria beyond traditional library zones</w:t>
      </w:r>
    </w:p>
    <w:p>
      <w:pPr>
        <w:pStyle w:val="BodyText"/>
      </w:pPr>
      <w:r>
        <w:t xml:space="preserve">Cultural Partnerships &amp; Events</w:t>
      </w:r>
    </w:p>
    <w:p>
      <w:pPr>
        <w:pStyle w:val="BodyText"/>
      </w:pPr>
      <w:r>
        <w:t xml:space="preserve">20%</w:t>
      </w:r>
    </w:p>
    <w:p>
      <w:pPr>
        <w:pStyle w:val="BodyText"/>
      </w:pPr>
      <w:r>
        <w:t xml:space="preserve">Leverages Alexandria's identity as a cultural capital; drives community trust</w:t>
      </w:r>
    </w:p>
    <w:p>
      <w:pPr>
        <w:pStyle w:val="BodyText"/>
      </w:pPr>
      <w:r>
        <w:t xml:space="preserve">Community Engagement (Social Media)</w:t>
      </w:r>
    </w:p>
    <w:p>
      <w:pPr>
        <w:pStyle w:val="BodyText"/>
      </w:pPr>
      <w:r>
        <w:t xml:space="preserve">12%</w:t>
      </w:r>
    </w:p>
    <w:p>
      <w:pPr>
        <w:pStyle w:val="BodyText"/>
      </w:pPr>
      <w:r>
        <w:t xml:space="preserve">Cost-effective outreach to Alexandria's youth demographic</w:t>
      </w:r>
    </w:p>
    <w:p>
      <w:pPr>
        <w:pStyle w:val="BodyText"/>
      </w:pPr>
      <w:r>
        <w:t xml:space="preserve">Evaluation &amp; Analytics</w:t>
      </w:r>
    </w:p>
    <w:p>
      <w:pPr>
        <w:pStyle w:val="BodyText"/>
      </w:pPr>
      <w:r>
        <w:t xml:space="preserve">5%</w:t>
      </w:r>
    </w:p>
    <w:p>
      <w:pPr>
        <w:pStyle w:val="BodyText"/>
      </w:pPr>
      <w:r>
        <w:t xml:space="preserve">Metric-driven optimization for Egypt Alexandria's unique context</w:t>
      </w:r>
    </w:p>
    <w:bookmarkEnd w:id="27"/>
    <w:bookmarkStart w:id="28" w:name="implementation-timeline-phased-approach"/>
    <w:p>
      <w:pPr>
        <w:pStyle w:val="Heading2"/>
      </w:pPr>
      <w:r>
        <w:t xml:space="preserve">6. Implementation Timeline (Phased Approach)</w:t>
      </w:r>
    </w:p>
    <w:p>
      <w:pPr>
        <w:pStyle w:val="FirstParagraph"/>
      </w:pPr>
      <w:r>
        <w:rPr>
          <w:bCs/>
          <w:b/>
        </w:rPr>
        <w:t xml:space="preserve">Months 1-3:</w:t>
      </w:r>
      <w:r>
        <w:t xml:space="preserve"> </w:t>
      </w:r>
      <w:r>
        <w:t xml:space="preserve">Launch digital platform with Arabic/French interfaces; partner with 5 Alexandria universities for pilot testing.</w:t>
      </w:r>
    </w:p>
    <w:p>
      <w:pPr>
        <w:pStyle w:val="BodyText"/>
      </w:pPr>
      <w:r>
        <w:rPr>
          <w:bCs/>
          <w:b/>
        </w:rPr>
        <w:t xml:space="preserve">Months 4-6:</w:t>
      </w:r>
      <w:r>
        <w:t xml:space="preserve"> </w:t>
      </w:r>
      <w:r>
        <w:t xml:space="preserve">Deploy first mobile librarian unit in eastern Alexandria (Sidi Gaber); initiate social media campaign #AlexandriaLibrarian</w:t>
      </w:r>
    </w:p>
    <w:p>
      <w:pPr>
        <w:pStyle w:val="BodyText"/>
      </w:pPr>
      <w:r>
        <w:rPr>
          <w:bCs/>
          <w:b/>
        </w:rPr>
        <w:t xml:space="preserve">Months 7-12:</w:t>
      </w:r>
      <w:r>
        <w:t xml:space="preserve"> </w:t>
      </w:r>
      <w:r>
        <w:t xml:space="preserve">Expand to all 5 main districts of Alexandria; host inaugural "Alexandria Heritage Research Week" with Bibliotheca Alexandrina</w:t>
      </w:r>
    </w:p>
    <w:p>
      <w:pPr>
        <w:pStyle w:val="BodyText"/>
      </w:pPr>
      <w:r>
        <w:rPr>
          <w:bCs/>
          <w:b/>
        </w:rPr>
        <w:t xml:space="preserve">Months 13-18:</w:t>
      </w:r>
      <w:r>
        <w:t xml:space="preserve"> </w:t>
      </w:r>
      <w:r>
        <w:t xml:space="preserve">Achieve full city coverage; establish sustainable revenue model through institutional partnerships with Alexandria businesses</w:t>
      </w:r>
    </w:p>
    <w:bookmarkEnd w:id="28"/>
    <w:bookmarkStart w:id="29" w:name="success-metrics-evaluation"/>
    <w:p>
      <w:pPr>
        <w:pStyle w:val="Heading2"/>
      </w:pPr>
      <w:r>
        <w:t xml:space="preserve">7. Success Metrics &amp; Evaluation</w:t>
      </w:r>
    </w:p>
    <w:p>
      <w:pPr>
        <w:pStyle w:val="FirstParagraph"/>
      </w:pPr>
      <w:r>
        <w:t xml:space="preserve">We measure success through both quantitative and qualitative metrics specific to Egypt Alexandria:</w:t>
      </w:r>
    </w:p>
    <w:p>
      <w:pPr>
        <w:numPr>
          <w:ilvl w:val="0"/>
          <w:numId w:val="1007"/>
        </w:numPr>
        <w:pStyle w:val="Compact"/>
      </w:pPr>
      <w:r>
        <w:rPr>
          <w:bCs/>
          <w:b/>
        </w:rPr>
        <w:t xml:space="preserve">User Growth:</w:t>
      </w:r>
      <w:r>
        <w:t xml:space="preserve"> </w:t>
      </w:r>
      <w:r>
        <w:t xml:space="preserve">Monthly active users on digital platform (target: 1,500 by Month 6)</w:t>
      </w:r>
    </w:p>
    <w:p>
      <w:pPr>
        <w:numPr>
          <w:ilvl w:val="0"/>
          <w:numId w:val="1007"/>
        </w:numPr>
        <w:pStyle w:val="Compact"/>
      </w:pPr>
      <w:r>
        <w:rPr>
          <w:bCs/>
          <w:b/>
        </w:rPr>
        <w:t xml:space="preserve">Community Impact:</w:t>
      </w:r>
      <w:r>
        <w:t xml:space="preserve"> </w:t>
      </w:r>
      <w:r>
        <w:t xml:space="preserve">Number of pop-up sessions in underserved areas (target: 48 sessions by Month 12)</w:t>
      </w:r>
    </w:p>
    <w:p>
      <w:pPr>
        <w:numPr>
          <w:ilvl w:val="0"/>
          <w:numId w:val="1007"/>
        </w:numPr>
        <w:pStyle w:val="Compact"/>
      </w:pPr>
      <w:r>
        <w:rPr>
          <w:bCs/>
          <w:b/>
        </w:rPr>
        <w:t xml:space="preserve">Cultural Relevance:</w:t>
      </w:r>
      <w:r>
        <w:t xml:space="preserve"> </w:t>
      </w:r>
      <w:r>
        <w:t xml:space="preserve">Social media engagement rate on heritage content (target: 25% above industry average)</w:t>
      </w:r>
    </w:p>
    <w:p>
      <w:pPr>
        <w:numPr>
          <w:ilvl w:val="0"/>
          <w:numId w:val="1007"/>
        </w:numPr>
        <w:pStyle w:val="Compact"/>
      </w:pPr>
      <w:r>
        <w:rPr>
          <w:bCs/>
          <w:b/>
        </w:rPr>
        <w:t xml:space="preserve">Satisfaction:</w:t>
      </w:r>
      <w:r>
        <w:t xml:space="preserve"> </w:t>
      </w:r>
      <w:r>
        <w:t xml:space="preserve">Post-service surveys measuring "ease of access to Egyptian knowledge resources" (target: 85% positive responses)</w:t>
      </w:r>
    </w:p>
    <w:bookmarkEnd w:id="29"/>
    <w:bookmarkStart w:id="30" w:name="conclusion"/>
    <w:p>
      <w:pPr>
        <w:pStyle w:val="Heading2"/>
      </w:pPr>
      <w:r>
        <w:t xml:space="preserve">Conclusion</w:t>
      </w:r>
    </w:p>
    <w:p>
      <w:pPr>
        <w:pStyle w:val="FirstParagraph"/>
      </w:pPr>
      <w:r>
        <w:t xml:space="preserve">This Marketing Plan positions the Librarian service as indispensable to Alexandria's intellectual ecosystem. By merging cutting-edge technology with deep cultural understanding of Egypt Alexandria, we transform traditional library services into dynamic knowledge catalysts. The plan addresses systemic gaps in educational resource access while celebrating Alexandria's legacy as a beacon of learning since the Library of Alexandria era. Through this tailored approach, we will make "Librarian" not just a service provider but a cultural partner essential to Egypt Alexandria's continued intellectual growth, ensuring every resident can connect with knowledge in their own community context. This initiative represents the evolution from historical libraries to modern librarian services that actively serve Egypt Alexandria's present and future needs.</w:t>
      </w:r>
    </w:p>
    <w:p>
      <w:pPr>
        <w:pStyle w:val="BodyText"/>
      </w:pPr>
      <w:r>
        <w:rPr>
          <w:iCs/>
          <w:i/>
        </w:rPr>
        <w:t xml:space="preserve">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in Egypt Alexandria</dc:title>
  <dc:creator/>
  <dc:language>en</dc:language>
  <cp:keywords/>
  <dcterms:created xsi:type="dcterms:W3CDTF">2026-07-23T09:45:41Z</dcterms:created>
  <dcterms:modified xsi:type="dcterms:W3CDTF">2026-07-23T09:45:41Z</dcterms:modified>
</cp:coreProperties>
</file>

<file path=docProps/custom.xml><?xml version="1.0" encoding="utf-8"?>
<Properties xmlns="http://schemas.openxmlformats.org/officeDocument/2006/custom-properties" xmlns:vt="http://schemas.openxmlformats.org/officeDocument/2006/docPropsVTypes"/>
</file>