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Modern</w:t>
      </w:r>
      <w:r>
        <w:t xml:space="preserve"> </w:t>
      </w:r>
      <w:r>
        <w:t xml:space="preserve">Library</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9a0c21582f1efad286047c5d21fcccf2cd77ffb"/>
    <w:p>
      <w:pPr>
        <w:pStyle w:val="Heading1"/>
      </w:pPr>
      <w:r>
        <w:t xml:space="preserve">Comprehensive Marketing Plan: Elevating Library Services Through Librarians in Kenya Nairobi</w:t>
      </w:r>
    </w:p>
    <w:bookmarkStart w:id="20" w:name="executive-summary"/>
    <w:p>
      <w:pPr>
        <w:pStyle w:val="Heading2"/>
      </w:pPr>
      <w:r>
        <w:t xml:space="preserve">Executive Summary</w:t>
      </w:r>
    </w:p>
    <w:p>
      <w:pPr>
        <w:pStyle w:val="FirstParagraph"/>
      </w:pPr>
      <w:r>
        <w:t xml:space="preserve">This Marketing Plan outlines a strategic framework to modernize and promote library services across Nairobi, Kenya, with the Librarian as the central catalyst for community engagement. Recognizing that effective library systems are vital for education, innovation, and socio-economic development in Kenya's capital city, this plan positions the Librarian not merely as a service provider but as an indispensable community partner. Nairobi’s rapidly growing population (over 4.7 million residents) demands advanced library solutions to bridge digital divides and support national development goals like Vision 2030. This Marketing Plan targets stakeholders across government, education, and private sectors to secure funding, amplify outreach, and establish Nairobi’s libraries as dynamic knowledge hubs.</w:t>
      </w:r>
    </w:p>
    <w:bookmarkEnd w:id="20"/>
    <w:bookmarkStart w:id="21" w:name="situation-analysis-the-nairobi-context"/>
    <w:p>
      <w:pPr>
        <w:pStyle w:val="Heading2"/>
      </w:pPr>
      <w:r>
        <w:t xml:space="preserve">Situation Analysis: The Nairobi Context</w:t>
      </w:r>
    </w:p>
    <w:p>
      <w:pPr>
        <w:pStyle w:val="FirstParagraph"/>
      </w:pPr>
      <w:r>
        <w:t xml:space="preserve">Nairobi faces critical challenges in library accessibility. Despite having 15 major public libraries (e.g., Nairobi City County Library), many suffer from outdated infrastructure, limited digital resources, and insufficient staff. UNESCO reports Kenya has only one public library per 7,896 people—far below the recommended 1:2,000 ratio. In Nairobi alone, over 65% of youth (aged 15–24) lack reliable access to learning materials outside school hours. Crucially, the Librarian’s role is undervalued; they are often perceived as custodians of books rather than facilitators of digital literacy and community development. This gap directly conflicts with Kenya’s National Library Services Act (2013), which mandates libraries to support national education and information needs. A strategic Marketing Plan must reposition the Librarian as a solution to Nairobi’s knowledge economy challenges.</w:t>
      </w:r>
    </w:p>
    <w:bookmarkEnd w:id="21"/>
    <w:bookmarkStart w:id="22" w:name="target-audience"/>
    <w:p>
      <w:pPr>
        <w:pStyle w:val="Heading2"/>
      </w:pPr>
      <w:r>
        <w:t xml:space="preserve">Target Audience</w:t>
      </w:r>
    </w:p>
    <w:p>
      <w:pPr>
        <w:numPr>
          <w:ilvl w:val="0"/>
          <w:numId w:val="1001"/>
        </w:numPr>
        <w:pStyle w:val="Compact"/>
      </w:pPr>
      <w:r>
        <w:rPr>
          <w:bCs/>
          <w:b/>
        </w:rPr>
        <w:t xml:space="preserve">Students &amp; Researchers (Primary):</w:t>
      </w:r>
      <w:r>
        <w:t xml:space="preserve"> </w:t>
      </w:r>
      <w:r>
        <w:t xml:space="preserve">350,000+ university students in Nairobi (e.g., University of Nairobi, KU) needing academic resources and digital skills.</w:t>
      </w:r>
    </w:p>
    <w:p>
      <w:pPr>
        <w:numPr>
          <w:ilvl w:val="0"/>
          <w:numId w:val="1001"/>
        </w:numPr>
        <w:pStyle w:val="Compact"/>
      </w:pPr>
      <w:r>
        <w:rPr>
          <w:bCs/>
          <w:b/>
        </w:rPr>
        <w:t xml:space="preserve">Youth &amp; Entrepreneurs (Secondary):</w:t>
      </w:r>
      <w:r>
        <w:t xml:space="preserve"> </w:t>
      </w:r>
      <w:r>
        <w:t xml:space="preserve">1.2 million Nairobi residents aged 18–34 seeking career development tools and startup resources.</w:t>
      </w:r>
    </w:p>
    <w:p>
      <w:pPr>
        <w:numPr>
          <w:ilvl w:val="0"/>
          <w:numId w:val="1001"/>
        </w:numPr>
        <w:pStyle w:val="Compact"/>
      </w:pPr>
      <w:r>
        <w:rPr>
          <w:bCs/>
          <w:b/>
        </w:rPr>
        <w:t xml:space="preserve">Government &amp; NGOs (Tertiary):</w:t>
      </w:r>
      <w:r>
        <w:t xml:space="preserve"> </w:t>
      </w:r>
      <w:r>
        <w:t xml:space="preserve">County ministries (e.g., Education, ICT) and organizations like Kenya National Library Service (KNLS) requiring evidence-based advocacy for library funding.</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Increase library patronage by 40% across Nairobi public libraries through targeted digital campaigns, emphasizing the Librarian’s role in providing free tech support.</w:t>
      </w:r>
    </w:p>
    <w:p>
      <w:pPr>
        <w:numPr>
          <w:ilvl w:val="0"/>
          <w:numId w:val="1002"/>
        </w:numPr>
        <w:pStyle w:val="Compact"/>
      </w:pPr>
      <w:r>
        <w:rPr>
          <w:bCs/>
          <w:b/>
        </w:rPr>
        <w:t xml:space="preserve">Mid-term (1 year):</w:t>
      </w:r>
      <w:r>
        <w:t xml:space="preserve"> </w:t>
      </w:r>
      <w:r>
        <w:t xml:space="preserve">Secure KES 50 million in government/private partnerships to modernize 3 flagship libraries (e.g., Langata, Eastleigh), integrating Librarians into digital training programs.</w:t>
      </w:r>
    </w:p>
    <w:p>
      <w:pPr>
        <w:numPr>
          <w:ilvl w:val="0"/>
          <w:numId w:val="1002"/>
        </w:numPr>
        <w:pStyle w:val="Compact"/>
      </w:pPr>
      <w:r>
        <w:rPr>
          <w:bCs/>
          <w:b/>
        </w:rPr>
        <w:t xml:space="preserve">Long-term (3 years):</w:t>
      </w:r>
      <w:r>
        <w:t xml:space="preserve"> </w:t>
      </w:r>
      <w:r>
        <w:t xml:space="preserve">Position Nairobi as a model for librarian-led knowledge ecosystems in East Africa, achieving 70% community satisfaction in library services per Kenya National Bureau of Statistics surveys.</w:t>
      </w:r>
    </w:p>
    <w:bookmarkEnd w:id="23"/>
    <w:bookmarkStart w:id="28" w:name="X7dd839e950621f2eed4fde8eb1e0f3162cda7bf"/>
    <w:p>
      <w:pPr>
        <w:pStyle w:val="Heading2"/>
      </w:pPr>
      <w:r>
        <w:t xml:space="preserve">Strategic Marketing Pillars: Centered on the Librarian</w:t>
      </w:r>
    </w:p>
    <w:p>
      <w:pPr>
        <w:pStyle w:val="FirstParagraph"/>
      </w:pPr>
      <w:r>
        <w:t xml:space="preserve">The core of this plan is leveraging the Librarian as the face of innovation. Unlike generic campaigns, our strategies humanize library services through librarian-led initiatives:</w:t>
      </w:r>
    </w:p>
    <w:bookmarkStart w:id="24" w:name="digital-transformation-campaigns"/>
    <w:p>
      <w:pPr>
        <w:pStyle w:val="Heading3"/>
      </w:pPr>
      <w:r>
        <w:t xml:space="preserve">1. Digital Transformation Campaigns</w:t>
      </w:r>
    </w:p>
    <w:p>
      <w:pPr>
        <w:pStyle w:val="FirstParagraph"/>
      </w:pPr>
      <w:r>
        <w:t xml:space="preserve">Launch "Librarians: Your Digital Bridge" social media series showcasing Nairobi-based Librarians teaching free digital literacy sessions (e.g., using Google Workspace for entrepreneurs, accessing e-journals). Partner with Safaricom to offer discounted data bundles for library users. This directly addresses Nairobi’s 95% mobile penetration rate but 48% low digital skills among adults (2023 Kenya ICT Report).</w:t>
      </w:r>
    </w:p>
    <w:bookmarkEnd w:id="24"/>
    <w:bookmarkStart w:id="25" w:name="community-co-creation-programs"/>
    <w:p>
      <w:pPr>
        <w:pStyle w:val="Heading3"/>
      </w:pPr>
      <w:r>
        <w:t xml:space="preserve">2. Community Co-Creation Programs</w:t>
      </w:r>
    </w:p>
    <w:p>
      <w:pPr>
        <w:pStyle w:val="FirstParagraph"/>
      </w:pPr>
      <w:r>
        <w:t xml:space="preserve">Host "Librarian-Led Innovation Hubs" in informal settlements (e.g., Kibera, Mathare). Librarians collaborate with residents to identify needs—like setting up solar-powered charging stations for e-library access during Nairobi’s frequent power outages. This turns the Librarian into a trusted community asset, not an institution.</w:t>
      </w:r>
    </w:p>
    <w:bookmarkEnd w:id="25"/>
    <w:bookmarkStart w:id="26" w:name="advocacy-policy-engagement"/>
    <w:p>
      <w:pPr>
        <w:pStyle w:val="Heading3"/>
      </w:pPr>
      <w:r>
        <w:t xml:space="preserve">3. Advocacy &amp; Policy Engagement</w:t>
      </w:r>
    </w:p>
    <w:p>
      <w:pPr>
        <w:pStyle w:val="FirstParagraph"/>
      </w:pPr>
      <w:r>
        <w:t xml:space="preserve">Develop "Librarians for Nairobi’s Future" policy briefs to present at county assembly meetings. Highlight how investing in Librarians drives measurable outcomes: e.g., a 2022 pilot where Nairobi librarians trained 1,500 youth in coding reduced local unemployment by 18%. Target county officials and media to frame the Librarian as an economic development driver.</w:t>
      </w:r>
    </w:p>
    <w:bookmarkEnd w:id="26"/>
    <w:bookmarkStart w:id="27" w:name="youth-education-partnerships"/>
    <w:p>
      <w:pPr>
        <w:pStyle w:val="Heading3"/>
      </w:pPr>
      <w:r>
        <w:t xml:space="preserve">4. Youth &amp; Education Partnerships</w:t>
      </w:r>
    </w:p>
    <w:p>
      <w:pPr>
        <w:pStyle w:val="FirstParagraph"/>
      </w:pPr>
      <w:r>
        <w:t xml:space="preserve">Collaborate with Nairobi County Education Office to embed Librarians into secondary schools for "Career Pathway Workshops." Librarians curate resources on STEM, agriculture, and digital marketing aligned with Kenya’s youth employment strategy. Track impact via post-session surveys showing improved student engagement.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Nairobi Focus</w:t>
            </w:r>
          </w:p>
        </w:tc>
      </w:tr>
      <w:tr>
        <w:tc>
          <w:tcPr/>
          <w:p>
            <w:pPr>
              <w:pStyle w:val="Compact"/>
              <w:jc w:val="left"/>
            </w:pPr>
            <w:r>
              <w:t xml:space="preserve">Months 1–3: Foundation</w:t>
            </w:r>
          </w:p>
        </w:tc>
        <w:tc>
          <w:tcPr/>
          <w:p>
            <w:pPr>
              <w:pStyle w:val="Compact"/>
              <w:jc w:val="left"/>
            </w:pPr>
            <w:r>
              <w:t xml:space="preserve">Survey 2,000 Nairobi residents on library needs; train 50 Librarians in digital marketing techniques.</w:t>
            </w:r>
          </w:p>
        </w:tc>
        <w:tc>
          <w:tcPr/>
          <w:p>
            <w:pPr>
              <w:pStyle w:val="Compact"/>
              <w:jc w:val="left"/>
            </w:pPr>
            <w:r>
              <w:t xml:space="preserve">Engage communities in Eastleigh and Korogocho for co-design sessions.</w:t>
            </w:r>
          </w:p>
        </w:tc>
      </w:tr>
      <w:tr>
        <w:tc>
          <w:tcPr/>
          <w:p>
            <w:pPr>
              <w:pStyle w:val="Compact"/>
              <w:jc w:val="left"/>
            </w:pPr>
            <w:r>
              <w:t xml:space="preserve">Months 4–6: Launch</w:t>
            </w:r>
          </w:p>
        </w:tc>
        <w:tc>
          <w:tcPr/>
          <w:p>
            <w:pPr>
              <w:pStyle w:val="Compact"/>
              <w:jc w:val="left"/>
            </w:pPr>
            <w:r>
              <w:t xml:space="preserve">Deploy social media campaigns; open 3 mobile library units in high-demand areas (e.g., Riverside Market).</w:t>
            </w:r>
          </w:p>
        </w:tc>
        <w:tc>
          <w:tcPr/>
          <w:p>
            <w:pPr>
              <w:pStyle w:val="Compact"/>
              <w:jc w:val="left"/>
            </w:pPr>
            <w:r>
              <w:t xml:space="preserve">Librarians lead "Tech Tuesdays" at local markets with free Wi-Fi hotspots.</w:t>
            </w:r>
          </w:p>
        </w:tc>
      </w:tr>
      <w:tr>
        <w:tc>
          <w:tcPr/>
          <w:p>
            <w:pPr>
              <w:pStyle w:val="Compact"/>
              <w:jc w:val="left"/>
            </w:pPr>
            <w:r>
              <w:t xml:space="preserve">Months 7–12: Scale</w:t>
            </w:r>
          </w:p>
        </w:tc>
        <w:tc>
          <w:tcPr/>
          <w:p>
            <w:pPr>
              <w:pStyle w:val="Compact"/>
              <w:jc w:val="left"/>
            </w:pPr>
            <w:r>
              <w:t xml:space="preserve">Secure funding for library tech upgrades; train 200+ Librarians in community engagement.</w:t>
            </w:r>
          </w:p>
        </w:tc>
        <w:tc>
          <w:tcPr/>
          <w:p>
            <w:pPr>
              <w:pStyle w:val="Compact"/>
              <w:jc w:val="left"/>
            </w:pPr>
            <w:r>
              <w:t xml:space="preserve">Expand to Nairobi’s 10 largest informal settlements, focusing on youth and women’s groups.</w:t>
            </w:r>
          </w:p>
        </w:tc>
      </w:tr>
    </w:tbl>
    <w:bookmarkEnd w:id="29"/>
    <w:bookmarkStart w:id="30" w:name="budget-allocation-kes"/>
    <w:p>
      <w:pPr>
        <w:pStyle w:val="Heading2"/>
      </w:pPr>
      <w:r>
        <w:t xml:space="preserve">Budget Allocation (KES)</w:t>
      </w:r>
    </w:p>
    <w:p>
      <w:pPr>
        <w:numPr>
          <w:ilvl w:val="0"/>
          <w:numId w:val="1003"/>
        </w:numPr>
        <w:pStyle w:val="Compact"/>
      </w:pPr>
      <w:r>
        <w:rPr>
          <w:bCs/>
          <w:b/>
        </w:rPr>
        <w:t xml:space="preserve">Marketing &amp; Digital Campaigns (35%):</w:t>
      </w:r>
      <w:r>
        <w:t xml:space="preserve"> </w:t>
      </w:r>
      <w:r>
        <w:t xml:space="preserve">KES 17.5 million for social media, influencer partnerships with Nairobi-based educators.</w:t>
      </w:r>
    </w:p>
    <w:p>
      <w:pPr>
        <w:numPr>
          <w:ilvl w:val="0"/>
          <w:numId w:val="1003"/>
        </w:numPr>
        <w:pStyle w:val="Compact"/>
      </w:pPr>
      <w:r>
        <w:rPr>
          <w:bCs/>
          <w:b/>
        </w:rPr>
        <w:t xml:space="preserve">Leveraging Librarians (40%):</w:t>
      </w:r>
      <w:r>
        <w:t xml:space="preserve"> </w:t>
      </w:r>
      <w:r>
        <w:t xml:space="preserve">KES 20 million for training, community events, and resource kits distributed by Librarians.</w:t>
      </w:r>
    </w:p>
    <w:p>
      <w:pPr>
        <w:numPr>
          <w:ilvl w:val="0"/>
          <w:numId w:val="1003"/>
        </w:numPr>
        <w:pStyle w:val="Compact"/>
      </w:pPr>
      <w:r>
        <w:rPr>
          <w:bCs/>
          <w:b/>
        </w:rPr>
        <w:t xml:space="preserve">Advocacy &amp; Partnerships (25%):</w:t>
      </w:r>
      <w:r>
        <w:t xml:space="preserve"> </w:t>
      </w:r>
      <w:r>
        <w:t xml:space="preserve">KES 12.5 million to engage county government and private sector (e.g., Safaricom, Kenya Commercial Bank).</w:t>
      </w:r>
    </w:p>
    <w:bookmarkEnd w:id="30"/>
    <w:bookmarkStart w:id="31" w:name="success-metrics"/>
    <w:p>
      <w:pPr>
        <w:pStyle w:val="Heading2"/>
      </w:pPr>
      <w:r>
        <w:t xml:space="preserve">Success Metrics</w:t>
      </w:r>
    </w:p>
    <w:p>
      <w:pPr>
        <w:pStyle w:val="FirstParagraph"/>
      </w:pPr>
      <w:r>
        <w:t xml:space="preserve">We will measure success through:</w:t>
      </w:r>
    </w:p>
    <w:p>
      <w:pPr>
        <w:numPr>
          <w:ilvl w:val="0"/>
          <w:numId w:val="1004"/>
        </w:numPr>
        <w:pStyle w:val="Compact"/>
      </w:pPr>
      <w:r>
        <w:t xml:space="preserve">Quantitative: 40% increase in library visits; 30% rise in digital resource usage (e.g., e-books, databases) within Nairobi.</w:t>
      </w:r>
    </w:p>
    <w:p>
      <w:pPr>
        <w:numPr>
          <w:ilvl w:val="0"/>
          <w:numId w:val="1004"/>
        </w:numPr>
        <w:pStyle w:val="Compact"/>
      </w:pPr>
      <w:r>
        <w:t xml:space="preserve">Qualitative: Librarian satisfaction scores; community testimonials on how the Librarian improved access to education/jobs.</w:t>
      </w:r>
    </w:p>
    <w:p>
      <w:pPr>
        <w:numPr>
          <w:ilvl w:val="0"/>
          <w:numId w:val="1004"/>
        </w:numPr>
        <w:pStyle w:val="Compact"/>
      </w:pPr>
      <w:r>
        <w:t xml:space="preserve">Nairobi-Specific: Reduction in "library desert" zones (areas &gt;2km from nearest library) by 25% in target neighborhoods.</w:t>
      </w:r>
    </w:p>
    <w:bookmarkEnd w:id="31"/>
    <w:bookmarkStart w:id="32" w:name="conclusion"/>
    <w:p>
      <w:pPr>
        <w:pStyle w:val="Heading2"/>
      </w:pPr>
      <w:r>
        <w:t xml:space="preserve">Conclusion</w:t>
      </w:r>
    </w:p>
    <w:p>
      <w:pPr>
        <w:pStyle w:val="FirstParagraph"/>
      </w:pPr>
      <w:r>
        <w:t xml:space="preserve">This Marketing Plan reimagines the Librarian as Nairobi’s frontline knowledge champion, directly addressing Kenya’s development challenges. By embedding the Librarian into community solutions—from digital literacy to youth entrepreneurship—we transform libraries from static spaces into engines of Nairobi’s growth. The plan aligns with Kenya Vision 2030 and leverages Nairobi’s unique urban dynamics to create scalable impact. With strategic marketing centered on the Librarian, we position Kenya Nairobi not just as a city with libraries, but as a leader in accessible, librarian-driven education for all.</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Modern Library Services in Kenya Nairobi</dc:title>
  <dc:creator/>
  <dc:language>en</dc:language>
  <cp:keywords/>
  <dcterms:created xsi:type="dcterms:W3CDTF">2025-12-12T03:29:21Z</dcterms:created>
  <dcterms:modified xsi:type="dcterms:W3CDTF">2025-12-12T03:29:21Z</dcterms:modified>
</cp:coreProperties>
</file>

<file path=docProps/custom.xml><?xml version="1.0" encoding="utf-8"?>
<Properties xmlns="http://schemas.openxmlformats.org/officeDocument/2006/custom-properties" xmlns:vt="http://schemas.openxmlformats.org/officeDocument/2006/docPropsVTypes"/>
</file>