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Strategic</w:t>
      </w:r>
      <w:r>
        <w:t xml:space="preserve"> </w:t>
      </w:r>
      <w:r>
        <w:t xml:space="preserve">Librarian</w:t>
      </w:r>
      <w:r>
        <w:t xml:space="preserve"> </w:t>
      </w:r>
      <w:r>
        <w:t xml:space="preserve">Recruitment</w:t>
      </w:r>
      <w:r>
        <w:t xml:space="preserve"> </w:t>
      </w:r>
      <w:r>
        <w:t xml:space="preserve">for</w:t>
      </w:r>
      <w:r>
        <w:t xml:space="preserve"> </w:t>
      </w:r>
      <w:r>
        <w:t xml:space="preserve">Qatar</w:t>
      </w:r>
      <w:r>
        <w:t xml:space="preserve"> </w:t>
      </w:r>
      <w:r>
        <w:t xml:space="preserve">Doha</w:t>
      </w:r>
    </w:p>
    <w:bookmarkStart w:id="28" w:name="Xd6bda0b3b5459a99bde015152bf0a6eb8222dcb"/>
    <w:p>
      <w:pPr>
        <w:pStyle w:val="Heading1"/>
      </w:pPr>
      <w:r>
        <w:t xml:space="preserve">Strategic Marketing Plan: Cultivating Excellence in Librarianship for Qatar Doha's Knowledge Economy</w:t>
      </w:r>
    </w:p>
    <w:p>
      <w:pPr>
        <w:pStyle w:val="FirstParagraph"/>
      </w:pPr>
      <w:r>
        <w:rPr>
          <w:bCs/>
          <w:b/>
        </w:rPr>
        <w:t xml:space="preserve">Executive Summary:</w:t>
      </w:r>
      <w:r>
        <w:t xml:space="preserve"> </w:t>
      </w:r>
      <w:r>
        <w:t xml:space="preserve">This comprehensive Marketing Plan outlines a targeted strategy to recruit a highly skilled Librarian for the burgeoning cultural and educational landscape of Doha, Qatar. Aligned with Qatar National Vision 2030 and the strategic priorities of institutions like the Qatar National Library (QNL) and Education City, this plan positions the Librarian role as a critical catalyst for knowledge dissemination, digital innovation, and community engagement within Doha's dynamic environment. The plan emphasizes cultural intelligence, technological proficiency, and alignment with Qatar's unique socio-educational goals to attract exceptional global talent while reinforcing local relevance.</w:t>
      </w:r>
    </w:p>
    <w:bookmarkStart w:id="20" w:name="market-analysis-qatar-doha-context"/>
    <w:p>
      <w:pPr>
        <w:pStyle w:val="Heading2"/>
      </w:pPr>
      <w:r>
        <w:t xml:space="preserve">1. Market Analysis: Qatar Doha Context</w:t>
      </w:r>
    </w:p>
    <w:p>
      <w:pPr>
        <w:pStyle w:val="FirstParagraph"/>
      </w:pPr>
      <w:r>
        <w:t xml:space="preserve">Doha’s transformation into a regional knowledge hub demands sophisticated library services. With QNL serving as a cornerstone of national cultural identity and Education City housing world-renowned international universities, the Librarian role transcends traditional duties. The market requires professionals who understand Qatar’s dual focus: preserving Islamic heritage through collections while integrating cutting-edge digital resources for a modern, multilingual populace (Arabic/English). Current gaps include limited local expertise in digital curation within Arabic-language contexts and insufficient community engagement strategies tailored to Doha's diverse expatriate and Qatari population. This plan directly addresses these needs by positioning the Librarian as a strategic asset within Qatar’s vision for intellectual leadership.</w:t>
      </w:r>
    </w:p>
    <w:bookmarkEnd w:id="20"/>
    <w:bookmarkStart w:id="21" w:name="X6072dc4eb950fd3a9529feffc641645ce2e5130"/>
    <w:p>
      <w:pPr>
        <w:pStyle w:val="Heading2"/>
      </w:pPr>
      <w:r>
        <w:t xml:space="preserve">2. Target Candidate Profile: Defining the Ideal Librarian</w:t>
      </w:r>
    </w:p>
    <w:p>
      <w:pPr>
        <w:pStyle w:val="FirstParagraph"/>
      </w:pPr>
      <w:r>
        <w:t xml:space="preserve">The ideal candidate must embody three pillars:</w:t>
      </w:r>
    </w:p>
    <w:p>
      <w:pPr>
        <w:numPr>
          <w:ilvl w:val="0"/>
          <w:numId w:val="1001"/>
        </w:numPr>
        <w:pStyle w:val="Compact"/>
      </w:pPr>
      <w:r>
        <w:rPr>
          <w:bCs/>
          <w:b/>
        </w:rPr>
        <w:t xml:space="preserve">Cultural Fluency:</w:t>
      </w:r>
      <w:r>
        <w:t xml:space="preserve"> </w:t>
      </w:r>
      <w:r>
        <w:t xml:space="preserve">Proven experience in multicultural settings, fluency in Arabic (written/spoken) and English, with deep respect for Qatari cultural norms. Must demonstrate understanding of Islamic history and heritage resources.</w:t>
      </w:r>
    </w:p>
    <w:p>
      <w:pPr>
        <w:numPr>
          <w:ilvl w:val="0"/>
          <w:numId w:val="1001"/>
        </w:numPr>
        <w:pStyle w:val="Compact"/>
      </w:pPr>
      <w:r>
        <w:rPr>
          <w:bCs/>
          <w:b/>
        </w:rPr>
        <w:t xml:space="preserve">Technological Agility:</w:t>
      </w:r>
      <w:r>
        <w:t xml:space="preserve"> </w:t>
      </w:r>
      <w:r>
        <w:t xml:space="preserve">Expertise in emerging library technologies (AI-driven cataloging, digital preservation tools), data analytics for user engagement, and experience managing integrated library systems (ILS) scalable for large institutions like QNL.</w:t>
      </w:r>
    </w:p>
    <w:p>
      <w:pPr>
        <w:numPr>
          <w:ilvl w:val="0"/>
          <w:numId w:val="1001"/>
        </w:numPr>
        <w:pStyle w:val="Compact"/>
      </w:pPr>
      <w:r>
        <w:rPr>
          <w:bCs/>
          <w:b/>
        </w:rPr>
        <w:t xml:space="preserve">Strategic Impact:</w:t>
      </w:r>
      <w:r>
        <w:t xml:space="preserve"> </w:t>
      </w:r>
      <w:r>
        <w:t xml:space="preserve">Ability to develop programs enhancing literacy, supporting research initiatives aligned with Qatar’s National Research Strategy (e.g., health, energy), and fostering partnerships with local schools/universities in Doha.</w:t>
      </w:r>
    </w:p>
    <w:bookmarkEnd w:id="21"/>
    <w:bookmarkStart w:id="22" w:name="Xdbac953611e31b695c733b20d33cb99ed9b6803"/>
    <w:p>
      <w:pPr>
        <w:pStyle w:val="Heading2"/>
      </w:pPr>
      <w:r>
        <w:t xml:space="preserve">3. Core Marketing Strategy: Positioning the Librarian Role</w:t>
      </w:r>
    </w:p>
    <w:p>
      <w:pPr>
        <w:pStyle w:val="FirstParagraph"/>
      </w:pPr>
      <w:r>
        <w:t xml:space="preserve">We will reframe the Librarian not as an operational role, but as a "Knowledge Architect for Doha’s Future." This strategic positioning leverages Qatar’s national narrative:</w:t>
      </w:r>
    </w:p>
    <w:p>
      <w:pPr>
        <w:numPr>
          <w:ilvl w:val="0"/>
          <w:numId w:val="1002"/>
        </w:numPr>
        <w:pStyle w:val="Compact"/>
      </w:pPr>
      <w:r>
        <w:rPr>
          <w:bCs/>
          <w:b/>
        </w:rPr>
        <w:t xml:space="preserve">Narrative Integration:</w:t>
      </w:r>
      <w:r>
        <w:t xml:space="preserve"> </w:t>
      </w:r>
      <w:r>
        <w:t xml:space="preserve">Messaging explicitly ties the Librarian to Qatar National Vision 2030 goals (e.g., "Drive Innovation Through Knowledge: Join Our Mission to Elevate Doha as a Global Learning Capital").</w:t>
      </w:r>
    </w:p>
    <w:p>
      <w:pPr>
        <w:numPr>
          <w:ilvl w:val="0"/>
          <w:numId w:val="1002"/>
        </w:numPr>
        <w:pStyle w:val="Compact"/>
      </w:pPr>
      <w:r>
        <w:rPr>
          <w:bCs/>
          <w:b/>
        </w:rPr>
        <w:t xml:space="preserve">Benefit-Driven Communication:</w:t>
      </w:r>
      <w:r>
        <w:t xml:space="preserve"> </w:t>
      </w:r>
      <w:r>
        <w:t xml:space="preserve">Highlight unique opportunities: access to QNL’s $60M+ digital archives, collaboration with research centers at Education City, and the chance to shape national educational policy.</w:t>
      </w:r>
    </w:p>
    <w:p>
      <w:pPr>
        <w:numPr>
          <w:ilvl w:val="0"/>
          <w:numId w:val="1002"/>
        </w:numPr>
        <w:pStyle w:val="Compact"/>
      </w:pPr>
      <w:r>
        <w:rPr>
          <w:bCs/>
          <w:b/>
        </w:rPr>
        <w:t xml:space="preserve">Cultural Resonance:</w:t>
      </w:r>
      <w:r>
        <w:t xml:space="preserve"> </w:t>
      </w:r>
      <w:r>
        <w:t xml:space="preserve">Emphasize Qatar’s hospitality ("Welcome to Doha: Your Career in a City Where Culture Meets Innovation") and quality-of-life benefits (low crime, world-class infrastructure).</w:t>
      </w:r>
    </w:p>
    <w:bookmarkEnd w:id="22"/>
    <w:bookmarkStart w:id="23" w:name="X04163851d94763947f5b1382c23de58de6a785e"/>
    <w:p>
      <w:pPr>
        <w:pStyle w:val="Heading2"/>
      </w:pPr>
      <w:r>
        <w:t xml:space="preserve">4. Targeted Recruitment Channels for Qatar Doha</w:t>
      </w:r>
    </w:p>
    <w:p>
      <w:pPr>
        <w:pStyle w:val="FirstParagraph"/>
      </w:pPr>
      <w:r>
        <w:t xml:space="preserve">Channel selection prioritizes reach within Qatar’s professional ecosystem and global talent pools with relevant experience:</w:t>
      </w:r>
    </w:p>
    <w:p>
      <w:pPr>
        <w:numPr>
          <w:ilvl w:val="0"/>
          <w:numId w:val="1003"/>
        </w:numPr>
        <w:pStyle w:val="Compact"/>
      </w:pPr>
      <w:r>
        <w:rPr>
          <w:bCs/>
          <w:b/>
        </w:rPr>
        <w:t xml:space="preserve">Qatar-Specific Platforms:</w:t>
      </w:r>
      <w:r>
        <w:t xml:space="preserve"> </w:t>
      </w:r>
      <w:r>
        <w:t xml:space="preserve">Partner with Qatari recruitment agencies (e.g., GulfTalent, Bayt.com) and leverage the Ministry of Education’s job portal for local candidates. Advertise on Qatar University’s career site to attract academics.</w:t>
      </w:r>
    </w:p>
    <w:p>
      <w:pPr>
        <w:numPr>
          <w:ilvl w:val="0"/>
          <w:numId w:val="1003"/>
        </w:numPr>
        <w:pStyle w:val="Compact"/>
      </w:pPr>
      <w:r>
        <w:rPr>
          <w:bCs/>
          <w:b/>
        </w:rPr>
        <w:t xml:space="preserve">Digital &amp; Social Media (Qatar-Focused):</w:t>
      </w:r>
      <w:r>
        <w:t xml:space="preserve"> </w:t>
      </w:r>
      <w:r>
        <w:t xml:space="preserve">Run targeted LinkedIn campaigns using keywords "Librarian," "Qatar National Library," "Doha Knowledge Economy" with geotargeting to Doha, GCC, and global academic hubs. Utilize Arabic-language LinkedIn posts to engage local professionals.</w:t>
      </w:r>
    </w:p>
    <w:p>
      <w:pPr>
        <w:numPr>
          <w:ilvl w:val="0"/>
          <w:numId w:val="1003"/>
        </w:numPr>
        <w:pStyle w:val="Compact"/>
      </w:pPr>
      <w:r>
        <w:rPr>
          <w:bCs/>
          <w:b/>
        </w:rPr>
        <w:t xml:space="preserve">Global Academic Networks:</w:t>
      </w:r>
      <w:r>
        <w:t xml:space="preserve"> </w:t>
      </w:r>
      <w:r>
        <w:t xml:space="preserve">Partner with ALA (American Library Association) and IFLA (International Federation of Library Associations) for international reach. Highlight participation in conferences like the Qatar Library Conference.</w:t>
      </w:r>
    </w:p>
    <w:p>
      <w:pPr>
        <w:numPr>
          <w:ilvl w:val="0"/>
          <w:numId w:val="1003"/>
        </w:numPr>
        <w:pStyle w:val="Compact"/>
      </w:pPr>
      <w:r>
        <w:rPr>
          <w:bCs/>
          <w:b/>
        </w:rPr>
        <w:t xml:space="preserve">Community Engagement:</w:t>
      </w:r>
      <w:r>
        <w:t xml:space="preserve"> </w:t>
      </w:r>
      <w:r>
        <w:t xml:space="preserve">Host virtual "Insider Talks" via Zoom featuring current QNL staff discussing Doha’s library innovation, streamed on Qatari social media platforms (Instagram, Snapchat).</w:t>
      </w:r>
    </w:p>
    <w:bookmarkEnd w:id="23"/>
    <w:bookmarkStart w:id="24" w:name="competitive-compensation-incentives"/>
    <w:p>
      <w:pPr>
        <w:pStyle w:val="Heading2"/>
      </w:pPr>
      <w:r>
        <w:t xml:space="preserve">5. Competitive Compensation &amp; Incentives</w:t>
      </w:r>
    </w:p>
    <w:p>
      <w:pPr>
        <w:pStyle w:val="FirstParagraph"/>
      </w:pPr>
      <w:r>
        <w:t xml:space="preserve">To attract top-tier talent to Doha, the package must exceed global standards while respecting local norms:</w:t>
      </w:r>
    </w:p>
    <w:p>
      <w:pPr>
        <w:numPr>
          <w:ilvl w:val="0"/>
          <w:numId w:val="1004"/>
        </w:numPr>
        <w:pStyle w:val="Compact"/>
      </w:pPr>
      <w:r>
        <w:t xml:space="preserve">Competitive salary benchmarked against Dubai/Qatar private sector (approx. QR 30,000–45,000/month + housing allowance).</w:t>
      </w:r>
    </w:p>
    <w:p>
      <w:pPr>
        <w:numPr>
          <w:ilvl w:val="0"/>
          <w:numId w:val="1004"/>
        </w:numPr>
        <w:pStyle w:val="Compact"/>
      </w:pPr>
      <w:r>
        <w:t xml:space="preserve">Professional development fund for certifications (e.g., IFLA digital curation courses) and conference attendance in Doha.</w:t>
      </w:r>
    </w:p>
    <w:p>
      <w:pPr>
        <w:numPr>
          <w:ilvl w:val="0"/>
          <w:numId w:val="1004"/>
        </w:numPr>
        <w:pStyle w:val="Compact"/>
      </w:pPr>
      <w:r>
        <w:t xml:space="preserve">Cultural integration support: Free Arabic language classes, Qatari heritage orientation program, and a mentorship from a senior QNL leader.</w:t>
      </w:r>
    </w:p>
    <w:bookmarkEnd w:id="24"/>
    <w:bookmarkStart w:id="25" w:name="key-performance-indicators-kpis"/>
    <w:p>
      <w:pPr>
        <w:pStyle w:val="Heading2"/>
      </w:pPr>
      <w:r>
        <w:t xml:space="preserve">6. Key Performance Indicators (KPIs)</w:t>
      </w:r>
    </w:p>
    <w:p>
      <w:pPr>
        <w:pStyle w:val="FirstParagraph"/>
      </w:pPr>
      <w:r>
        <w:t xml:space="preserve">Success is measured by metrics directly tied to Qatar’s strategic objectives:</w:t>
      </w:r>
    </w:p>
    <w:p>
      <w:pPr>
        <w:numPr>
          <w:ilvl w:val="0"/>
          <w:numId w:val="1005"/>
        </w:numPr>
        <w:pStyle w:val="Compact"/>
      </w:pPr>
      <w:r>
        <w:rPr>
          <w:bCs/>
          <w:b/>
        </w:rPr>
        <w:t xml:space="preserve">Quality of Hire:</w:t>
      </w:r>
      <w:r>
        <w:t xml:space="preserve"> </w:t>
      </w:r>
      <w:r>
        <w:t xml:space="preserve">% of candidates meeting cultural fluency/technical criteria (Target: ≥90%).</w:t>
      </w:r>
    </w:p>
    <w:p>
      <w:pPr>
        <w:numPr>
          <w:ilvl w:val="0"/>
          <w:numId w:val="1005"/>
        </w:numPr>
        <w:pStyle w:val="Compact"/>
      </w:pPr>
      <w:r>
        <w:rPr>
          <w:bCs/>
          <w:b/>
        </w:rPr>
        <w:t xml:space="preserve">Diversity &amp; Local Impact:</w:t>
      </w:r>
      <w:r>
        <w:t xml:space="preserve"> </w:t>
      </w:r>
      <w:r>
        <w:t xml:space="preserve">Percentage of Qatari nationals recruited (Target: 30% within first year) + expatriate representation reflecting Doha’s demographics.</w:t>
      </w:r>
    </w:p>
    <w:p>
      <w:pPr>
        <w:numPr>
          <w:ilvl w:val="0"/>
          <w:numId w:val="1005"/>
        </w:numPr>
        <w:pStyle w:val="Compact"/>
      </w:pPr>
      <w:r>
        <w:rPr>
          <w:bCs/>
          <w:b/>
        </w:rPr>
        <w:t xml:space="preserve">Recruitment Efficiency:</w:t>
      </w:r>
      <w:r>
        <w:t xml:space="preserve"> </w:t>
      </w:r>
      <w:r>
        <w:t xml:space="preserve">Time-to-fill (Target: ≤60 days), cost-per-hire vs. regional benchmark.</w:t>
      </w:r>
    </w:p>
    <w:p>
      <w:pPr>
        <w:numPr>
          <w:ilvl w:val="0"/>
          <w:numId w:val="1005"/>
        </w:numPr>
        <w:pStyle w:val="Compact"/>
      </w:pPr>
      <w:r>
        <w:rPr>
          <w:bCs/>
          <w:b/>
        </w:rPr>
        <w:t xml:space="preserve">Strategic Alignment:</w:t>
      </w:r>
      <w:r>
        <w:t xml:space="preserve"> </w:t>
      </w:r>
      <w:r>
        <w:t xml:space="preserve">Number of new initiatives launched within 6 months (e.g., Arabic digital archive project, university partnership program).</w:t>
      </w:r>
    </w:p>
    <w:bookmarkEnd w:id="25"/>
    <w:bookmarkStart w:id="26" w:name="budget-allocation"/>
    <w:p>
      <w:pPr>
        <w:pStyle w:val="Heading2"/>
      </w:pPr>
      <w:r>
        <w:t xml:space="preserve">7. Budget Allocation</w:t>
      </w:r>
    </w:p>
    <w:p>
      <w:pPr>
        <w:pStyle w:val="FirstParagraph"/>
      </w:pPr>
      <w:r>
        <w:t xml:space="preserve">Total budget: QR 150,000 (≈$41,200 USD). Breakdown:</w:t>
      </w:r>
    </w:p>
    <w:p>
      <w:pPr>
        <w:numPr>
          <w:ilvl w:val="0"/>
          <w:numId w:val="1006"/>
        </w:numPr>
        <w:pStyle w:val="Compact"/>
      </w:pPr>
      <w:r>
        <w:t xml:space="preserve">Advertising (LinkedIn, GulfTalent): 35% (QR 52,500)</w:t>
      </w:r>
    </w:p>
    <w:p>
      <w:pPr>
        <w:numPr>
          <w:ilvl w:val="0"/>
          <w:numId w:val="1006"/>
        </w:numPr>
        <w:pStyle w:val="Compact"/>
      </w:pPr>
      <w:r>
        <w:t xml:space="preserve">Partnership Fees (Qatar University/ALA): 25% (QR 37,500)</w:t>
      </w:r>
    </w:p>
    <w:p>
      <w:pPr>
        <w:numPr>
          <w:ilvl w:val="0"/>
          <w:numId w:val="1006"/>
        </w:numPr>
        <w:pStyle w:val="Compact"/>
      </w:pPr>
      <w:r>
        <w:t xml:space="preserve">Cultural Integration Program: 20% (QR 30,000)</w:t>
      </w:r>
    </w:p>
    <w:p>
      <w:pPr>
        <w:numPr>
          <w:ilvl w:val="0"/>
          <w:numId w:val="1006"/>
        </w:numPr>
        <w:pStyle w:val="Compact"/>
      </w:pPr>
      <w:r>
        <w:t xml:space="preserve">Recruitment Agency Commissions: 15% (QR 22,500)</w:t>
      </w:r>
    </w:p>
    <w:p>
      <w:pPr>
        <w:numPr>
          <w:ilvl w:val="0"/>
          <w:numId w:val="1006"/>
        </w:numPr>
        <w:pStyle w:val="Compact"/>
      </w:pPr>
      <w:r>
        <w:t xml:space="preserve">Contingency/Analytics: 5% (QR 7,500)</w:t>
      </w:r>
    </w:p>
    <w:bookmarkEnd w:id="26"/>
    <w:bookmarkStart w:id="27" w:name="X91d7b132629404b68693bc850f7eb971645d937"/>
    <w:p>
      <w:pPr>
        <w:pStyle w:val="Heading2"/>
      </w:pPr>
      <w:r>
        <w:t xml:space="preserve">Conclusion: The Librarian as Qatar’s Strategic Asset</w:t>
      </w:r>
    </w:p>
    <w:p>
      <w:pPr>
        <w:pStyle w:val="FirstParagraph"/>
      </w:pPr>
      <w:r>
        <w:t xml:space="preserve">This Marketing Plan transcends standard recruitment. It positions the Librarian role as a strategic lever for Qatar Doha’s evolution into a knowledge-driven society. By meticulously aligning candidate expectations with national vision, leveraging Doha’s unique cultural and technological landscape, and measuring success against Qatar National Vision 2030 targets, this initiative ensures the Librarian becomes an indispensable partner in shaping the country's intellectual future. The plan delivers not just a hire, but a catalyst for innovation—proving that in Doha’s journey to global prominence, every knowledge professional is pivotal.</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Strategic Librarian Recruitment for Qatar Doha</dc:title>
  <dc:creator/>
  <dc:language>en</dc:language>
  <cp:keywords/>
  <dcterms:created xsi:type="dcterms:W3CDTF">2025-12-12T01:53:19Z</dcterms:created>
  <dcterms:modified xsi:type="dcterms:W3CDTF">2025-12-12T01:53:19Z</dcterms:modified>
</cp:coreProperties>
</file>

<file path=docProps/custom.xml><?xml version="1.0" encoding="utf-8"?>
<Properties xmlns="http://schemas.openxmlformats.org/officeDocument/2006/custom-properties" xmlns:vt="http://schemas.openxmlformats.org/officeDocument/2006/docPropsVTypes"/>
</file>