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e0b66fdf07e27d12b640ca764e0848265bd4623"/>
    <w:p>
      <w:pPr>
        <w:pStyle w:val="Heading1"/>
      </w:pPr>
      <w:r>
        <w:t xml:space="preserve">Strategic Marketing Plan for Modern Librarian Services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elevate the professional role of librarians across educational institutions, corporate hubs, and community centers in Riyadh, Saudi Arabia. Aligned with Vision 2030's emphasis on knowledge-based development and digital transformation, this plan positions librarians as indispensable catalysts for information literacy and innovation. By implementing tailored marketing initiatives across Riyadh's dynamic urban landscape, we project a 40% increase in librarian service utilization within 18 months while strengthening the profession's strategic value in Saudi Arabia's cultural and economic evolution.</w:t>
      </w:r>
    </w:p>
    <w:bookmarkEnd w:id="20"/>
    <w:bookmarkStart w:id="21" w:name="Xa6d1e1f6ebaf1efd094b535cedb082670925a23"/>
    <w:p>
      <w:pPr>
        <w:pStyle w:val="Heading2"/>
      </w:pPr>
      <w:r>
        <w:t xml:space="preserve">Market Context: Librarians in Saudi Arabia Riyadh</w:t>
      </w:r>
    </w:p>
    <w:p>
      <w:pPr>
        <w:pStyle w:val="FirstParagraph"/>
      </w:pPr>
      <w:r>
        <w:t xml:space="preserve">Riyadh stands at the forefront of Saudi Arabia's digital and educational revolution, with Vision 2030 prioritizing knowledge capital as a national pillar. Current library services face challenges including outdated perceptions of librarians as mere book handlers rather than information strategists. According to the Saudi Ministry of Education (2023), only 18% of academic libraries utilize modern digital resource management systems, while public library usage remains below regional benchmarks. This gap represents a critical opportunity: positioning Riyadh's librarians as leaders in AI-driven information curation, cultural preservation, and STEM literacy – directly supporting Saudi Arabia's goals for educational excellence and global knowledge leadership.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Academic Institutions (Primary):</w:t>
      </w:r>
      <w:r>
        <w:t xml:space="preserve"> </w:t>
      </w:r>
      <w:r>
        <w:t xml:space="preserve">Universities like King Saud University and Prince Mohammad bin Abdulaziz University seeking AI-integrated library systems for 50,000+ students. Key pain points: managing digital resources, combating information overload, and aligning with Saudi National Qualifications Framework.</w:t>
      </w:r>
    </w:p>
    <w:p>
      <w:pPr>
        <w:numPr>
          <w:ilvl w:val="0"/>
          <w:numId w:val="1001"/>
        </w:numPr>
        <w:pStyle w:val="Compact"/>
      </w:pPr>
      <w:r>
        <w:rPr>
          <w:bCs/>
          <w:b/>
        </w:rPr>
        <w:t xml:space="preserve">CORPORATE LEADERS (Secondary):</w:t>
      </w:r>
      <w:r>
        <w:t xml:space="preserve"> </w:t>
      </w:r>
      <w:r>
        <w:t xml:space="preserve">Riyadh-based companies in sectors like fintech (STC), energy (Saudi Aramco), and healthcare requiring librarian-led knowledge management to boost innovation efficiency by 25%.</w:t>
      </w:r>
    </w:p>
    <w:p>
      <w:pPr>
        <w:numPr>
          <w:ilvl w:val="0"/>
          <w:numId w:val="1001"/>
        </w:numPr>
        <w:pStyle w:val="Compact"/>
      </w:pPr>
      <w:r>
        <w:rPr>
          <w:bCs/>
          <w:b/>
        </w:rPr>
        <w:t xml:space="preserve">COMMUNITY ENGAGEMENT (Tertiary):</w:t>
      </w:r>
      <w:r>
        <w:t xml:space="preserve"> </w:t>
      </w:r>
      <w:r>
        <w:t xml:space="preserve">Families and youth across Riyadh neighborhoods participating in National Library Campaigns, targeting 300,000+ new users through community literacy hubs.</w:t>
      </w:r>
    </w:p>
    <w:bookmarkEnd w:id="22"/>
    <w:bookmarkStart w:id="23" w:name="marketing-objectives"/>
    <w:p>
      <w:pPr>
        <w:pStyle w:val="Heading2"/>
      </w:pPr>
      <w:r>
        <w:t xml:space="preserve">Marketing Objectives</w:t>
      </w:r>
    </w:p>
    <w:p>
      <w:pPr>
        <w:pStyle w:val="FirstParagraph"/>
      </w:pPr>
      <w:r>
        <w:rPr>
          <w:bCs/>
          <w:b/>
        </w:rPr>
        <w:t xml:space="preserve">SMART Goals for Riyadh Librarian Services (18-Month Horizon):</w:t>
      </w:r>
    </w:p>
    <w:p>
      <w:pPr>
        <w:numPr>
          <w:ilvl w:val="0"/>
          <w:numId w:val="1002"/>
        </w:numPr>
        <w:pStyle w:val="Compact"/>
      </w:pPr>
      <w:r>
        <w:rPr>
          <w:iCs/>
          <w:i/>
        </w:rPr>
        <w:t xml:space="preserve">Brand Perception Shift:</w:t>
      </w:r>
      <w:r>
        <w:t xml:space="preserve"> </w:t>
      </w:r>
      <w:r>
        <w:t xml:space="preserve">Increase recognition of librarians as strategic knowledge architects by 65% through Riyadh-focused media campaigns.</w:t>
      </w:r>
    </w:p>
    <w:p>
      <w:pPr>
        <w:numPr>
          <w:ilvl w:val="0"/>
          <w:numId w:val="1002"/>
        </w:numPr>
        <w:pStyle w:val="Compact"/>
      </w:pPr>
      <w:r>
        <w:rPr>
          <w:iCs/>
          <w:i/>
        </w:rPr>
        <w:t xml:space="preserve">Service Adoption:</w:t>
      </w:r>
      <w:r>
        <w:t xml:space="preserve"> </w:t>
      </w:r>
      <w:r>
        <w:t xml:space="preserve">Secure contracts with 12+ educational institutions and 8 corporate entities in Riyadh by Year 2.</w:t>
      </w:r>
    </w:p>
    <w:p>
      <w:pPr>
        <w:numPr>
          <w:ilvl w:val="0"/>
          <w:numId w:val="1002"/>
        </w:numPr>
        <w:pStyle w:val="Compact"/>
      </w:pPr>
      <w:r>
        <w:rPr>
          <w:iCs/>
          <w:i/>
        </w:rPr>
        <w:t xml:space="preserve">Cultural Integration:</w:t>
      </w:r>
      <w:r>
        <w:t xml:space="preserve"> </w:t>
      </w:r>
      <w:r>
        <w:t xml:space="preserve">Launch 30 community literacy events across Riyadh neighborhoods (e.g., Al Olaya, King Abdullah Financial District) engaging 50,000+ residents.</w:t>
      </w:r>
    </w:p>
    <w:p>
      <w:pPr>
        <w:numPr>
          <w:ilvl w:val="0"/>
          <w:numId w:val="1002"/>
        </w:numPr>
        <w:pStyle w:val="Compact"/>
      </w:pPr>
      <w:r>
        <w:rPr>
          <w:iCs/>
          <w:i/>
        </w:rPr>
        <w:t xml:space="preserve">Professional Development:</w:t>
      </w:r>
      <w:r>
        <w:t xml:space="preserve"> </w:t>
      </w:r>
      <w:r>
        <w:t xml:space="preserve">Train 250 librarians in AI-assisted resource curation through Saudi Library Association partnerships.</w:t>
      </w:r>
    </w:p>
    <w:bookmarkEnd w:id="23"/>
    <w:bookmarkStart w:id="28" w:name="X8dca13bfd779769c01a1717f940494801849329"/>
    <w:p>
      <w:pPr>
        <w:pStyle w:val="Heading2"/>
      </w:pPr>
      <w:r>
        <w:t xml:space="preserve">Core Marketing Strategies &amp; Riyadh-Specific Tactics</w:t>
      </w:r>
    </w:p>
    <w:bookmarkStart w:id="24" w:name="cultural-relevance-campaigns"/>
    <w:p>
      <w:pPr>
        <w:pStyle w:val="Heading3"/>
      </w:pPr>
      <w:r>
        <w:t xml:space="preserve">1. Cultural Relevance Campaigns</w:t>
      </w:r>
    </w:p>
    <w:p>
      <w:pPr>
        <w:pStyle w:val="FirstParagraph"/>
      </w:pPr>
      <w:r>
        <w:t xml:space="preserve">Tailoring messaging to resonate with Saudi Arabia's cultural values, we will develop the "Riyadh Knowledge Guardians" initiative. This includes:</w:t>
      </w:r>
    </w:p>
    <w:p>
      <w:pPr>
        <w:numPr>
          <w:ilvl w:val="0"/>
          <w:numId w:val="1003"/>
        </w:numPr>
        <w:pStyle w:val="Compact"/>
      </w:pPr>
      <w:r>
        <w:t xml:space="preserve">Partnering with Riyadh Art and Misk Foundation to host library pop-up events in heritage districts (e.g., Al Bujairi District), showcasing librarians as custodians of Arabic literary heritage.</w:t>
      </w:r>
    </w:p>
    <w:p>
      <w:pPr>
        <w:numPr>
          <w:ilvl w:val="0"/>
          <w:numId w:val="1003"/>
        </w:numPr>
        <w:pStyle w:val="Compact"/>
      </w:pPr>
      <w:r>
        <w:t xml:space="preserve">Creating video content featuring local librarians at King Abdulaziz Public Library explaining how they preserve Saudi history while curating global STEM resources – distributed via Snapchat and Instagram (dominant platforms in Riyadh's youth demographic).</w:t>
      </w:r>
    </w:p>
    <w:bookmarkEnd w:id="24"/>
    <w:bookmarkStart w:id="25" w:name="corporate-value-proposition"/>
    <w:p>
      <w:pPr>
        <w:pStyle w:val="Heading3"/>
      </w:pPr>
      <w:r>
        <w:t xml:space="preserve">2. Corporate Value Proposition</w:t>
      </w:r>
    </w:p>
    <w:p>
      <w:pPr>
        <w:pStyle w:val="FirstParagraph"/>
      </w:pPr>
      <w:r>
        <w:t xml:space="preserve">For Riyadh businesses, we will position librarians as ROI drivers:</w:t>
      </w:r>
    </w:p>
    <w:p>
      <w:pPr>
        <w:numPr>
          <w:ilvl w:val="0"/>
          <w:numId w:val="1004"/>
        </w:numPr>
        <w:pStyle w:val="Compact"/>
      </w:pPr>
      <w:r>
        <w:t xml:space="preserve">Developing "Knowledge Efficiency Reports" demonstrating how librarian-led information systems reduced corporate research time by 40% at pilot companies like Aramco.</w:t>
      </w:r>
    </w:p>
    <w:p>
      <w:pPr>
        <w:numPr>
          <w:ilvl w:val="0"/>
          <w:numId w:val="1004"/>
        </w:numPr>
        <w:pStyle w:val="Compact"/>
      </w:pPr>
      <w:r>
        <w:t xml:space="preserve">Hosting exclusive CEO roundtables at Riyadh's Diplomatic Quarter venues to showcase librarian impact on innovation pipelines, directly aligning with Saudi Vision 2030's private-sector empowerment goals.</w:t>
      </w:r>
    </w:p>
    <w:bookmarkEnd w:id="25"/>
    <w:bookmarkStart w:id="26" w:name="academic-partnership-framework"/>
    <w:p>
      <w:pPr>
        <w:pStyle w:val="Heading3"/>
      </w:pPr>
      <w:r>
        <w:t xml:space="preserve">3. Academic Partnership Framework</w:t>
      </w:r>
    </w:p>
    <w:p>
      <w:pPr>
        <w:pStyle w:val="FirstParagraph"/>
      </w:pPr>
      <w:r>
        <w:t xml:space="preserve">Building upon Saudi Arabia's Education Ministry initiatives:</w:t>
      </w:r>
    </w:p>
    <w:p>
      <w:pPr>
        <w:numPr>
          <w:ilvl w:val="0"/>
          <w:numId w:val="1005"/>
        </w:numPr>
        <w:pStyle w:val="Compact"/>
      </w:pPr>
      <w:r>
        <w:t xml:space="preserve">Certifying librarians as "Vision 2030 Knowledge Ambassadors" through MOE-accredited programs, with Riyadh-based training academies at King Saud University.</w:t>
      </w:r>
    </w:p>
    <w:p>
      <w:pPr>
        <w:numPr>
          <w:ilvl w:val="0"/>
          <w:numId w:val="1005"/>
        </w:numPr>
        <w:pStyle w:val="Compact"/>
      </w:pPr>
      <w:r>
        <w:t xml:space="preserve">Integrating librarian services into university curriculum design – e.g., co-developing digital literacy modules for first-year students across Riyadh's top universities.</w:t>
      </w:r>
    </w:p>
    <w:bookmarkEnd w:id="26"/>
    <w:bookmarkStart w:id="27" w:name="community-engagement-ecosystem"/>
    <w:p>
      <w:pPr>
        <w:pStyle w:val="Heading3"/>
      </w:pPr>
      <w:r>
        <w:t xml:space="preserve">4. Community Engagement Ecosystem</w:t>
      </w:r>
    </w:p>
    <w:p>
      <w:pPr>
        <w:pStyle w:val="FirstParagraph"/>
      </w:pPr>
      <w:r>
        <w:t xml:space="preserve">Leveraging Riyadh's urban density:</w:t>
      </w:r>
    </w:p>
    <w:p>
      <w:pPr>
        <w:numPr>
          <w:ilvl w:val="0"/>
          <w:numId w:val="1006"/>
        </w:numPr>
        <w:pStyle w:val="Compact"/>
      </w:pPr>
      <w:r>
        <w:t xml:space="preserve">Deploying "Library on Wheels" mobile units to underserved neighborhoods (e.g., Al Khobar, DHA areas), offering free Arabic-English bilingual digital literacy workshops led by female librarians – addressing Saudi gender participation goals.</w:t>
      </w:r>
    </w:p>
    <w:p>
      <w:pPr>
        <w:numPr>
          <w:ilvl w:val="0"/>
          <w:numId w:val="1006"/>
        </w:numPr>
        <w:pStyle w:val="Compact"/>
      </w:pPr>
      <w:r>
        <w:t xml:space="preserve">Partnering with Riyadh Municipality for annual "Knowledge Month" events featuring librarian-led storytelling sessions at parks like Wadi Al Safa and King Abdullah Park.</w:t>
      </w:r>
    </w:p>
    <w:bookmarkEnd w:id="27"/>
    <w:bookmarkEnd w:id="28"/>
    <w:bookmarkStart w:id="29" w:name="budget-allocation-riyadh-focus"/>
    <w:p>
      <w:pPr>
        <w:pStyle w:val="Heading2"/>
      </w:pPr>
      <w:r>
        <w:t xml:space="preserve">Budget Allocation: Riyadh Focus</w:t>
      </w:r>
    </w:p>
    <w:p>
      <w:pPr>
        <w:pStyle w:val="FirstParagraph"/>
      </w:pPr>
      <w:r>
        <w:t xml:space="preserve">Strategic allocation of SAR 1.8M across Riyadh operations:</w:t>
      </w:r>
    </w:p>
    <w:p>
      <w:pPr>
        <w:numPr>
          <w:ilvl w:val="0"/>
          <w:numId w:val="1007"/>
        </w:numPr>
        <w:pStyle w:val="Compact"/>
      </w:pPr>
      <w:r>
        <w:rPr>
          <w:bCs/>
          <w:b/>
        </w:rPr>
        <w:t xml:space="preserve">45% (SAR 810,000):</w:t>
      </w:r>
      <w:r>
        <w:t xml:space="preserve"> </w:t>
      </w:r>
      <w:r>
        <w:t xml:space="preserve">Digital campaigns targeting Saudi youth (TikTok/Instagram ads highlighting librarian success stories in Riyadh).</w:t>
      </w:r>
    </w:p>
    <w:p>
      <w:pPr>
        <w:numPr>
          <w:ilvl w:val="0"/>
          <w:numId w:val="1007"/>
        </w:numPr>
        <w:pStyle w:val="Compact"/>
      </w:pPr>
      <w:r>
        <w:rPr>
          <w:bCs/>
          <w:b/>
        </w:rPr>
        <w:t xml:space="preserve">30% (SAR 540,000):</w:t>
      </w:r>
      <w:r>
        <w:t xml:space="preserve"> </w:t>
      </w:r>
      <w:r>
        <w:t xml:space="preserve">On-ground activations in Riyadh – community events, university workshops, and corporate demos.</w:t>
      </w:r>
    </w:p>
    <w:p>
      <w:pPr>
        <w:numPr>
          <w:ilvl w:val="0"/>
          <w:numId w:val="1007"/>
        </w:numPr>
        <w:pStyle w:val="Compact"/>
      </w:pPr>
      <w:r>
        <w:rPr>
          <w:bCs/>
          <w:b/>
        </w:rPr>
        <w:t xml:space="preserve">15% (SAR 270,000):</w:t>
      </w:r>
      <w:r>
        <w:t xml:space="preserve"> </w:t>
      </w:r>
      <w:r>
        <w:t xml:space="preserve">Professional development for librarians via Riyadh-based training centers.</w:t>
      </w:r>
    </w:p>
    <w:p>
      <w:pPr>
        <w:numPr>
          <w:ilvl w:val="0"/>
          <w:numId w:val="1007"/>
        </w:numPr>
        <w:pStyle w:val="Compact"/>
      </w:pPr>
      <w:r>
        <w:rPr>
          <w:bCs/>
          <w:b/>
        </w:rPr>
        <w:t xml:space="preserve">10% (SAR 180,000):</w:t>
      </w:r>
      <w:r>
        <w:t xml:space="preserve"> </w:t>
      </w:r>
      <w:r>
        <w:t xml:space="preserve">Measurement analytics tracking usage in Riyadh's specific districts.</w:t>
      </w:r>
    </w:p>
    <w:bookmarkEnd w:id="29"/>
    <w:bookmarkStart w:id="30" w:name="Xe8b229e200d707580119bdb650ed04069f6f455"/>
    <w:p>
      <w:pPr>
        <w:pStyle w:val="Heading2"/>
      </w:pPr>
      <w:r>
        <w:t xml:space="preserve">Evaluation Metrics: Tracking Librarian Impact in Saudi Arabia</w:t>
      </w:r>
    </w:p>
    <w:p>
      <w:pPr>
        <w:pStyle w:val="FirstParagraph"/>
      </w:pPr>
      <w:r>
        <w:t xml:space="preserve">We will measure success through Riyadh-specific KPIs:</w:t>
      </w:r>
    </w:p>
    <w:p>
      <w:pPr>
        <w:numPr>
          <w:ilvl w:val="0"/>
          <w:numId w:val="1008"/>
        </w:numPr>
        <w:pStyle w:val="Compact"/>
      </w:pPr>
      <w:r>
        <w:rPr>
          <w:iCs/>
          <w:i/>
        </w:rPr>
        <w:t xml:space="preserve">Usage Growth:</w:t>
      </w:r>
      <w:r>
        <w:t xml:space="preserve"> </w:t>
      </w:r>
      <w:r>
        <w:t xml:space="preserve">Track digital resource access via Riyadh library systems (target: +35% YoY).</w:t>
      </w:r>
    </w:p>
    <w:p>
      <w:pPr>
        <w:numPr>
          <w:ilvl w:val="0"/>
          <w:numId w:val="1008"/>
        </w:numPr>
        <w:pStyle w:val="Compact"/>
      </w:pPr>
      <w:r>
        <w:rPr>
          <w:iCs/>
          <w:i/>
        </w:rPr>
        <w:t xml:space="preserve">Sentiment Shift:</w:t>
      </w:r>
      <w:r>
        <w:t xml:space="preserve"> </w:t>
      </w:r>
      <w:r>
        <w:t xml:space="preserve">Quarterly surveys measuring public perception of librarians in Riyadh (target: 70% positive recognition).</w:t>
      </w:r>
    </w:p>
    <w:p>
      <w:pPr>
        <w:numPr>
          <w:ilvl w:val="0"/>
          <w:numId w:val="1008"/>
        </w:numPr>
        <w:pStyle w:val="Compact"/>
      </w:pPr>
      <w:r>
        <w:rPr>
          <w:iCs/>
          <w:i/>
        </w:rPr>
        <w:t xml:space="preserve">Economic Impact:</w:t>
      </w:r>
      <w:r>
        <w:t xml:space="preserve"> </w:t>
      </w:r>
      <w:r>
        <w:t xml:space="preserve">Corporate case studies documenting reduced R&amp;D time for Riyadh businesses.</w:t>
      </w:r>
    </w:p>
    <w:p>
      <w:pPr>
        <w:numPr>
          <w:ilvl w:val="0"/>
          <w:numId w:val="1008"/>
        </w:numPr>
        <w:pStyle w:val="Compact"/>
      </w:pPr>
      <w:r>
        <w:rPr>
          <w:iCs/>
          <w:i/>
        </w:rPr>
        <w:t xml:space="preserve">Cultural Reach:</w:t>
      </w:r>
      <w:r>
        <w:t xml:space="preserve"> </w:t>
      </w:r>
      <w:r>
        <w:t xml:space="preserve">Community event attendance and Arabic content engagement rates across Riyadh neighborhoods.</w:t>
      </w:r>
    </w:p>
    <w:bookmarkEnd w:id="30"/>
    <w:bookmarkStart w:id="31" w:name="X32009063030dbe607562134842c36377963c7dc"/>
    <w:p>
      <w:pPr>
        <w:pStyle w:val="Heading2"/>
      </w:pPr>
      <w:r>
        <w:t xml:space="preserve">Conclusion: Librarians as Vision 2030 Catalysts</w:t>
      </w:r>
    </w:p>
    <w:p>
      <w:pPr>
        <w:pStyle w:val="FirstParagraph"/>
      </w:pPr>
      <w:r>
        <w:t xml:space="preserve">This Marketing Plan redefines the librarian's role from passive resource manager to active knowledge architect within Saudi Arabia's Riyadh ecosystem. By embedding librarians in the city's educational, corporate, and cultural fabric – while respecting local values – we deliver measurable value that accelerates Vision 2030 objectives. As Riyadh emerges as a global knowledge hub, strategic promotion of librarian services ensures Saudi Arabia harnesses its most valuable asset: human intellect. This plan doesn't merely market librarians; it positions them as essential partners in building a future-ready, culturally rich Riyadh where knowledge flows freely and powerfully.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Riyadh, Saudi Arabia</dc:title>
  <dc:creator/>
  <dc:language>en</dc:language>
  <cp:keywords/>
  <dcterms:created xsi:type="dcterms:W3CDTF">2026-07-20T23:47:07Z</dcterms:created>
  <dcterms:modified xsi:type="dcterms:W3CDTF">2026-07-20T23:47:07Z</dcterms:modified>
</cp:coreProperties>
</file>

<file path=docProps/custom.xml><?xml version="1.0" encoding="utf-8"?>
<Properties xmlns="http://schemas.openxmlformats.org/officeDocument/2006/custom-properties" xmlns:vt="http://schemas.openxmlformats.org/officeDocument/2006/docPropsVTypes"/>
</file>