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Dubai</w:t>
      </w:r>
      <w:r>
        <w:t xml:space="preserve"> </w:t>
      </w:r>
      <w:r>
        <w:t xml:space="preserve">Library</w:t>
      </w:r>
      <w:r>
        <w:t xml:space="preserve"> </w:t>
      </w:r>
      <w:r>
        <w:t xml:space="preserve">Management</w:t>
      </w:r>
      <w:r>
        <w:t xml:space="preserve"> </w:t>
      </w:r>
      <w:r>
        <w:t xml:space="preserve">Solution</w:t>
      </w:r>
    </w:p>
    <w:bookmarkStart w:id="34" w:name="X0f0d2eb900060f22c8e964eaa1b6ec92029191f"/>
    <w:p>
      <w:pPr>
        <w:pStyle w:val="Heading1"/>
      </w:pPr>
      <w:r>
        <w:t xml:space="preserve">Comprehensive Marketing Plan for Librarian: Revolutionizing Library Services in United Arab Emirates Dubai</w:t>
      </w:r>
    </w:p>
    <w:bookmarkStart w:id="20" w:name="executive-summary"/>
    <w:p>
      <w:pPr>
        <w:pStyle w:val="Heading2"/>
      </w:pPr>
      <w:r>
        <w:t xml:space="preserve">Executive Summary</w:t>
      </w:r>
    </w:p>
    <w:p>
      <w:pPr>
        <w:pStyle w:val="FirstParagraph"/>
      </w:pPr>
      <w:r>
        <w:t xml:space="preserve">This Marketing Plan outlines the strategic rollout of "Librarian," an innovative library management software suite, targeting educational institutions, public libraries, and corporate knowledge centers across Dubai and the United Arab Emirates. With Dubai's ambitious vision for becoming a global hub of knowledge and innovation under initiatives like Dubai Smart City 2030, Librarian is positioned to address critical gaps in library automation while aligning with UAE's national priorities. The plan details market entry strategies, localization tactics, and measurable objectives to capture 15% market share within Dubai's library sector within three years.</w:t>
      </w:r>
    </w:p>
    <w:bookmarkEnd w:id="20"/>
    <w:bookmarkStart w:id="21" w:name="market-analysis-dubai-context"/>
    <w:p>
      <w:pPr>
        <w:pStyle w:val="Heading2"/>
      </w:pPr>
      <w:r>
        <w:t xml:space="preserve">Market Analysis: Dubai Context</w:t>
      </w:r>
    </w:p>
    <w:p>
      <w:pPr>
        <w:pStyle w:val="FirstParagraph"/>
      </w:pPr>
      <w:r>
        <w:t xml:space="preserve">Dubai's educational landscape comprises over 300 schools, 15 universities (including the American University of Dubai and Khalifa University), and 6 major public libraries under the Dubai Municipality. The UAE government prioritizes knowledge economy development through initiatives like the National Library Strategy, which mandates digital transformation for all public institutions by 2025. Current library systems in Dubai face challenges including fragmented cataloging, lack of Arabic-English bilingual interfaces, and insufficient analytics—creating urgent demand for a solution like Librarian.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Libraries (Dubai Municipality):</w:t>
      </w:r>
      <w:r>
        <w:t xml:space="preserve"> </w:t>
      </w:r>
      <w:r>
        <w:t xml:space="preserve">6 institutions requiring automated circulation, multilingual support, and compliance with UAE cultural protocols.</w:t>
      </w:r>
    </w:p>
    <w:p>
      <w:pPr>
        <w:numPr>
          <w:ilvl w:val="0"/>
          <w:numId w:val="1001"/>
        </w:numPr>
        <w:pStyle w:val="Compact"/>
      </w:pPr>
      <w:r>
        <w:rPr>
          <w:bCs/>
          <w:b/>
        </w:rPr>
        <w:t xml:space="preserve">Educational Institutions:</w:t>
      </w:r>
      <w:r>
        <w:t xml:space="preserve"> </w:t>
      </w:r>
      <w:r>
        <w:t xml:space="preserve">Universities and private schools needing student engagement analytics and curriculum-aligned resource management.</w:t>
      </w:r>
    </w:p>
    <w:p>
      <w:pPr>
        <w:numPr>
          <w:ilvl w:val="0"/>
          <w:numId w:val="1001"/>
        </w:numPr>
        <w:pStyle w:val="Compact"/>
      </w:pPr>
      <w:r>
        <w:rPr>
          <w:bCs/>
          <w:b/>
        </w:rPr>
        <w:t xml:space="preserve">Corporate Knowledge Hubs:</w:t>
      </w:r>
      <w:r>
        <w:t xml:space="preserve"> </w:t>
      </w:r>
      <w:r>
        <w:t xml:space="preserve">Multinational HQs (e.g., Dubai International Financial Centre) requiring secure document management for business intelligence.</w:t>
      </w:r>
    </w:p>
    <w:bookmarkEnd w:id="22"/>
    <w:bookmarkStart w:id="23" w:name="core-value-proposition"/>
    <w:p>
      <w:pPr>
        <w:pStyle w:val="Heading2"/>
      </w:pPr>
      <w:r>
        <w:t xml:space="preserve">Core Value Proposition</w:t>
      </w:r>
    </w:p>
    <w:p>
      <w:pPr>
        <w:pStyle w:val="FirstParagraph"/>
      </w:pPr>
      <w:r>
        <w:t xml:space="preserve">"Librarian" delivers UAE-specific library automation through:</w:t>
      </w:r>
    </w:p>
    <w:p>
      <w:pPr>
        <w:numPr>
          <w:ilvl w:val="0"/>
          <w:numId w:val="1002"/>
        </w:numPr>
        <w:pStyle w:val="Compact"/>
      </w:pPr>
      <w:r>
        <w:rPr>
          <w:bCs/>
          <w:b/>
        </w:rPr>
        <w:t xml:space="preserve">Cultural Compliance:</w:t>
      </w:r>
      <w:r>
        <w:t xml:space="preserve"> </w:t>
      </w:r>
      <w:r>
        <w:t xml:space="preserve">Fully bilingual Arabic-English interface with UAE cultural content filters (e.g., religious sensitivity settings).</w:t>
      </w:r>
    </w:p>
    <w:p>
      <w:pPr>
        <w:numPr>
          <w:ilvl w:val="0"/>
          <w:numId w:val="1002"/>
        </w:numPr>
        <w:pStyle w:val="Compact"/>
      </w:pPr>
      <w:r>
        <w:rPr>
          <w:bCs/>
          <w:b/>
        </w:rPr>
        <w:t xml:space="preserve">Smart Integration:</w:t>
      </w:r>
      <w:r>
        <w:t xml:space="preserve"> </w:t>
      </w:r>
      <w:r>
        <w:t xml:space="preserve">Seamless compatibility with Dubai's Smart City APIs and government portals like Dubai.iCity.</w:t>
      </w:r>
    </w:p>
    <w:p>
      <w:pPr>
        <w:numPr>
          <w:ilvl w:val="0"/>
          <w:numId w:val="1002"/>
        </w:numPr>
        <w:pStyle w:val="Compact"/>
      </w:pPr>
      <w:r>
        <w:rPr>
          <w:bCs/>
          <w:b/>
        </w:rPr>
        <w:t xml:space="preserve">Predictive Analytics:</w:t>
      </w:r>
      <w:r>
        <w:t xml:space="preserve"> </w:t>
      </w:r>
      <w:r>
        <w:t xml:space="preserve">Custom reports on reading trends aligned with UAE education goals (e.g., STEM resource usage tracking).</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The Librarian platform will be localized for Dubai with these key features:</w:t>
      </w:r>
    </w:p>
    <w:p>
      <w:pPr>
        <w:numPr>
          <w:ilvl w:val="0"/>
          <w:numId w:val="1003"/>
        </w:numPr>
        <w:pStyle w:val="Compact"/>
      </w:pPr>
      <w:r>
        <w:t xml:space="preserve">Arabic script-first UI with voice navigation for Arabic speakers (complying with UAE's 2019 Language Policy).</w:t>
      </w:r>
    </w:p>
    <w:p>
      <w:pPr>
        <w:numPr>
          <w:ilvl w:val="0"/>
          <w:numId w:val="1003"/>
        </w:numPr>
        <w:pStyle w:val="Compact"/>
      </w:pPr>
      <w:r>
        <w:t xml:space="preserve">Integration with Dubai’s "Tawasul" government system for document authentication.</w:t>
      </w:r>
    </w:p>
    <w:p>
      <w:pPr>
        <w:numPr>
          <w:ilvl w:val="0"/>
          <w:numId w:val="1003"/>
        </w:numPr>
        <w:pStyle w:val="Compact"/>
      </w:pPr>
      <w:r>
        <w:t xml:space="preserve">Offline functionality for library branches in remote areas like Al Quoz and Jebel Ali.</w:t>
      </w:r>
    </w:p>
    <w:bookmarkEnd w:id="24"/>
    <w:bookmarkStart w:id="25" w:name="pricing-strategy"/>
    <w:p>
      <w:pPr>
        <w:pStyle w:val="Heading3"/>
      </w:pPr>
      <w:r>
        <w:t xml:space="preserve">Pricing Strategy</w:t>
      </w:r>
    </w:p>
    <w:p>
      <w:pPr>
        <w:pStyle w:val="FirstParagraph"/>
      </w:pPr>
      <w:r>
        <w:t xml:space="preserve">A tiered subscription model tailored to Dubai's market:</w:t>
      </w:r>
    </w:p>
    <w:p>
      <w:pPr>
        <w:numPr>
          <w:ilvl w:val="0"/>
          <w:numId w:val="1004"/>
        </w:numPr>
        <w:pStyle w:val="Compact"/>
      </w:pPr>
      <w:r>
        <w:rPr>
          <w:bCs/>
          <w:b/>
        </w:rPr>
        <w:t xml:space="preserve">Basic:</w:t>
      </w:r>
      <w:r>
        <w:t xml:space="preserve"> </w:t>
      </w:r>
      <w:r>
        <w:t xml:space="preserve">AED 12,000/year for small schools (up to 500 users)</w:t>
      </w:r>
    </w:p>
    <w:p>
      <w:pPr>
        <w:numPr>
          <w:ilvl w:val="0"/>
          <w:numId w:val="1004"/>
        </w:numPr>
        <w:pStyle w:val="Compact"/>
      </w:pPr>
      <w:r>
        <w:rPr>
          <w:bCs/>
          <w:b/>
        </w:rPr>
        <w:t xml:space="preserve">Premium:</w:t>
      </w:r>
      <w:r>
        <w:t xml:space="preserve"> </w:t>
      </w:r>
      <w:r>
        <w:t xml:space="preserve">AED 45,000/year for public libraries (full analytics + UAE compliance module)</w:t>
      </w:r>
    </w:p>
    <w:p>
      <w:pPr>
        <w:numPr>
          <w:ilvl w:val="0"/>
          <w:numId w:val="1004"/>
        </w:numPr>
        <w:pStyle w:val="Compact"/>
      </w:pPr>
      <w:r>
        <w:rPr>
          <w:bCs/>
          <w:b/>
        </w:rPr>
        <w:t xml:space="preserve">Enterprise:</w:t>
      </w:r>
      <w:r>
        <w:t xml:space="preserve"> </w:t>
      </w:r>
      <w:r>
        <w:t xml:space="preserve">Custom pricing for universities/corporates with API integrations</w:t>
      </w:r>
    </w:p>
    <w:p>
      <w:pPr>
        <w:pStyle w:val="FirstParagraph"/>
      </w:pPr>
      <w:r>
        <w:t xml:space="preserve">*Note: 20% discount offered to Dubai Knowledge Park members per UAE government incentives.*</w:t>
      </w:r>
    </w:p>
    <w:bookmarkEnd w:id="25"/>
    <w:bookmarkStart w:id="26" w:name="distribution-strategy"/>
    <w:p>
      <w:pPr>
        <w:pStyle w:val="Heading3"/>
      </w:pPr>
      <w:r>
        <w:t xml:space="preserve">Distribution Strategy</w:t>
      </w:r>
    </w:p>
    <w:p>
      <w:pPr>
        <w:pStyle w:val="FirstParagraph"/>
      </w:pPr>
      <w:r>
        <w:t xml:space="preserve">Leveraging Dubai's digital infrastructure through:</w:t>
      </w:r>
    </w:p>
    <w:p>
      <w:pPr>
        <w:numPr>
          <w:ilvl w:val="0"/>
          <w:numId w:val="1005"/>
        </w:numPr>
        <w:pStyle w:val="Compact"/>
      </w:pPr>
      <w:r>
        <w:t xml:space="preserve">Direct sales teams based in Dubai Internet City (strategic hub for tech companies)</w:t>
      </w:r>
    </w:p>
    <w:p>
      <w:pPr>
        <w:numPr>
          <w:ilvl w:val="0"/>
          <w:numId w:val="1005"/>
        </w:numPr>
        <w:pStyle w:val="Compact"/>
      </w:pPr>
      <w:r>
        <w:t xml:space="preserve">Partnerships with UAE-approved IT distributors like G42 and Etisalat</w:t>
      </w:r>
    </w:p>
    <w:p>
      <w:pPr>
        <w:numPr>
          <w:ilvl w:val="0"/>
          <w:numId w:val="1005"/>
        </w:numPr>
        <w:pStyle w:val="Compact"/>
      </w:pPr>
      <w:r>
        <w:t xml:space="preserve">Digital channels: Pre-installed on devices purchased through Dubai Government’s eProcurement platform</w:t>
      </w:r>
    </w:p>
    <w:bookmarkEnd w:id="26"/>
    <w:bookmarkStart w:id="27" w:name="promotion-strategy"/>
    <w:p>
      <w:pPr>
        <w:pStyle w:val="Heading3"/>
      </w:pPr>
      <w:r>
        <w:t xml:space="preserve">Promotion Strategy</w:t>
      </w:r>
    </w:p>
    <w:p>
      <w:pPr>
        <w:pStyle w:val="FirstParagraph"/>
      </w:pPr>
      <w:r>
        <w:t xml:space="preserve">Phased awareness campaign aligned with Dubai's cultural calendar:</w:t>
      </w:r>
    </w:p>
    <w:p>
      <w:pPr>
        <w:numPr>
          <w:ilvl w:val="0"/>
          <w:numId w:val="1006"/>
        </w:numPr>
        <w:pStyle w:val="Compact"/>
      </w:pPr>
      <w:r>
        <w:rPr>
          <w:bCs/>
          <w:b/>
        </w:rPr>
        <w:t xml:space="preserve">Phase 1 (Months 1-3):</w:t>
      </w:r>
      <w:r>
        <w:t xml:space="preserve"> </w:t>
      </w:r>
      <w:r>
        <w:t xml:space="preserve">Launch at Gulf Education Summit (Dubai), featuring UAE government officials as keynote speakers to validate solution alignment.</w:t>
      </w:r>
    </w:p>
    <w:p>
      <w:pPr>
        <w:numPr>
          <w:ilvl w:val="0"/>
          <w:numId w:val="1006"/>
        </w:numPr>
        <w:pStyle w:val="Compact"/>
      </w:pPr>
      <w:r>
        <w:rPr>
          <w:bCs/>
          <w:b/>
        </w:rPr>
        <w:t xml:space="preserve">Phase 2 (Months 4-6):</w:t>
      </w:r>
      <w:r>
        <w:t xml:space="preserve"> </w:t>
      </w:r>
      <w:r>
        <w:t xml:space="preserve">Targeted email campaigns to Dubai School Inspection Bureau, highlighting compliance with "Knowledge Economy Vision."</w:t>
      </w:r>
    </w:p>
    <w:p>
      <w:pPr>
        <w:numPr>
          <w:ilvl w:val="0"/>
          <w:numId w:val="1006"/>
        </w:numPr>
        <w:pStyle w:val="Compact"/>
      </w:pPr>
      <w:r>
        <w:rPr>
          <w:bCs/>
          <w:b/>
        </w:rPr>
        <w:t xml:space="preserve">Phase 3 (Months 7-12):</w:t>
      </w:r>
      <w:r>
        <w:t xml:space="preserve"> </w:t>
      </w:r>
      <w:r>
        <w:t xml:space="preserve">Co-branded workshops with Dubai Public Library on "Digital Literacy for UAE Youth" using Librarian analytics.</w:t>
      </w:r>
    </w:p>
    <w:bookmarkEnd w:id="27"/>
    <w:bookmarkEnd w:id="28"/>
    <w:bookmarkStart w:id="29" w:name="cultural-regulatory-alignment"/>
    <w:p>
      <w:pPr>
        <w:pStyle w:val="Heading2"/>
      </w:pPr>
      <w:r>
        <w:t xml:space="preserve">Cultural &amp; Regulatory Alignment</w:t>
      </w:r>
    </w:p>
    <w:p>
      <w:pPr>
        <w:pStyle w:val="FirstParagraph"/>
      </w:pPr>
      <w:r>
        <w:t xml:space="preserve">This Marketing Plan strictly adheres to UAE regulations:</w:t>
      </w:r>
    </w:p>
    <w:p>
      <w:pPr>
        <w:numPr>
          <w:ilvl w:val="0"/>
          <w:numId w:val="1007"/>
        </w:numPr>
        <w:pStyle w:val="Compact"/>
      </w:pPr>
      <w:r>
        <w:t xml:space="preserve">Content moderation filters matching Ministry of Education guidelines</w:t>
      </w:r>
    </w:p>
    <w:p>
      <w:pPr>
        <w:numPr>
          <w:ilvl w:val="0"/>
          <w:numId w:val="1007"/>
        </w:numPr>
        <w:pStyle w:val="Compact"/>
      </w:pPr>
      <w:r>
        <w:t xml:space="preserve">Compliance with Dubai Data Law (Emirates Data Protection Law)</w:t>
      </w:r>
    </w:p>
    <w:p>
      <w:pPr>
        <w:numPr>
          <w:ilvl w:val="0"/>
          <w:numId w:val="1007"/>
        </w:numPr>
        <w:pStyle w:val="Compact"/>
      </w:pPr>
      <w:r>
        <w:t xml:space="preserve">Cultural sensitivity: All marketing assets feature Emirati librarians as case study subjects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UAE government compliance certification; Hire Dubai-based sales leads</w:t>
            </w:r>
          </w:p>
        </w:tc>
      </w:tr>
      <w:tr>
        <w:tc>
          <w:tcPr/>
          <w:p>
            <w:pPr>
              <w:pStyle w:val="Compact"/>
              <w:jc w:val="left"/>
            </w:pPr>
            <w:r>
              <w:t xml:space="preserve">Q2 2024</w:t>
            </w:r>
          </w:p>
        </w:tc>
        <w:tc>
          <w:tcPr/>
          <w:p>
            <w:pPr>
              <w:pStyle w:val="Compact"/>
              <w:jc w:val="left"/>
            </w:pPr>
            <w:r>
              <w:t xml:space="preserve">Launch at Gulf Education Summit; Secure first contract with Dubai International Academy</w:t>
            </w:r>
          </w:p>
        </w:tc>
      </w:tr>
      <w:tr>
        <w:tc>
          <w:tcPr/>
          <w:p>
            <w:pPr>
              <w:pStyle w:val="Compact"/>
              <w:jc w:val="left"/>
            </w:pPr>
            <w:r>
              <w:t xml:space="preserve">Q3 2024</w:t>
            </w:r>
          </w:p>
        </w:tc>
        <w:tc>
          <w:tcPr/>
          <w:p>
            <w:pPr>
              <w:pStyle w:val="Compact"/>
              <w:jc w:val="left"/>
            </w:pPr>
            <w:r>
              <w:t xml:space="preserve">Integrate with Dubai Smart City platform; Begin free pilot at Al Barsha Public Library</w:t>
            </w:r>
          </w:p>
        </w:tc>
      </w:tr>
      <w:tr>
        <w:tc>
          <w:tcPr/>
          <w:p>
            <w:pPr>
              <w:pStyle w:val="Compact"/>
              <w:jc w:val="left"/>
            </w:pPr>
            <w:r>
              <w:t xml:space="preserve">Q4 2024</w:t>
            </w:r>
          </w:p>
        </w:tc>
        <w:tc>
          <w:tcPr/>
          <w:p>
            <w:pPr>
              <w:pStyle w:val="Compact"/>
              <w:jc w:val="left"/>
            </w:pPr>
            <w:r>
              <w:t xml:space="preserve">Publish UAE case study: "Librarian Reduces Circulation Time by 65% in Dubai Municipal Libraries"</w:t>
            </w:r>
          </w:p>
        </w:tc>
      </w:tr>
    </w:tbl>
    <w:bookmarkEnd w:id="30"/>
    <w:bookmarkStart w:id="31" w:name="budget-allocation-first-year"/>
    <w:p>
      <w:pPr>
        <w:pStyle w:val="Heading2"/>
      </w:pPr>
      <w:r>
        <w:t xml:space="preserve">Budget Allocation (First Year)</w:t>
      </w:r>
    </w:p>
    <w:p>
      <w:pPr>
        <w:numPr>
          <w:ilvl w:val="0"/>
          <w:numId w:val="1008"/>
        </w:numPr>
        <w:pStyle w:val="Compact"/>
      </w:pPr>
      <w:r>
        <w:t xml:space="preserve">Product Localization: AED 380,000</w:t>
      </w:r>
    </w:p>
    <w:p>
      <w:pPr>
        <w:numPr>
          <w:ilvl w:val="0"/>
          <w:numId w:val="1008"/>
        </w:numPr>
        <w:pStyle w:val="Compact"/>
      </w:pPr>
      <w:r>
        <w:t xml:space="preserve">Dubai Marketing Events: AED 450,000 (Summits, workshops)</w:t>
      </w:r>
    </w:p>
    <w:p>
      <w:pPr>
        <w:numPr>
          <w:ilvl w:val="0"/>
          <w:numId w:val="1008"/>
        </w:numPr>
        <w:pStyle w:val="Compact"/>
      </w:pPr>
      <w:r>
        <w:t xml:space="preserve">Government Partnerships: AED 225,000</w:t>
      </w:r>
    </w:p>
    <w:p>
      <w:pPr>
        <w:numPr>
          <w:ilvl w:val="0"/>
          <w:numId w:val="1008"/>
        </w:numPr>
        <w:pStyle w:val="Compact"/>
      </w:pPr>
      <w:r>
        <w:t xml:space="preserve">Digital Campaigns: AED 187,500</w:t>
      </w:r>
    </w:p>
    <w:p>
      <w:pPr>
        <w:numPr>
          <w:ilvl w:val="0"/>
          <w:numId w:val="1008"/>
        </w:numPr>
        <w:pStyle w:val="Compact"/>
      </w:pPr>
      <w:r>
        <w:t xml:space="preserve">Total: AED 1.242 million</w:t>
      </w:r>
    </w:p>
    <w:bookmarkEnd w:id="31"/>
    <w:bookmarkStart w:id="32" w:name="evaluation-metrics"/>
    <w:p>
      <w:pPr>
        <w:pStyle w:val="Heading2"/>
      </w:pPr>
      <w:r>
        <w:t xml:space="preserve">Evaluation Metrics</w:t>
      </w:r>
    </w:p>
    <w:p>
      <w:pPr>
        <w:pStyle w:val="FirstParagraph"/>
      </w:pPr>
      <w:r>
        <w:t xml:space="preserve">Success will be measured against Dubai-specific KPIs:</w:t>
      </w:r>
    </w:p>
    <w:p>
      <w:pPr>
        <w:numPr>
          <w:ilvl w:val="0"/>
          <w:numId w:val="1009"/>
        </w:numPr>
        <w:pStyle w:val="Compact"/>
      </w:pPr>
      <w:r>
        <w:rPr>
          <w:bCs/>
          <w:b/>
        </w:rPr>
        <w:t xml:space="preserve">Market Penetration:</w:t>
      </w:r>
      <w:r>
        <w:t xml:space="preserve"> </w:t>
      </w:r>
      <w:r>
        <w:t xml:space="preserve">30+ institutional contracts in Dubai within Year 1 (vs. industry average of 8)</w:t>
      </w:r>
    </w:p>
    <w:p>
      <w:pPr>
        <w:numPr>
          <w:ilvl w:val="0"/>
          <w:numId w:val="1009"/>
        </w:numPr>
        <w:pStyle w:val="Compact"/>
      </w:pPr>
      <w:r>
        <w:rPr>
          <w:bCs/>
          <w:b/>
        </w:rPr>
        <w:t xml:space="preserve">Cultural Impact:</w:t>
      </w:r>
      <w:r>
        <w:t xml:space="preserve"> </w:t>
      </w:r>
      <w:r>
        <w:t xml:space="preserve">Minimum 95% UAE client satisfaction on cultural compliance (via post-implementation surveys)</w:t>
      </w:r>
    </w:p>
    <w:p>
      <w:pPr>
        <w:numPr>
          <w:ilvl w:val="0"/>
          <w:numId w:val="1009"/>
        </w:numPr>
        <w:pStyle w:val="Compact"/>
      </w:pPr>
      <w:r>
        <w:rPr>
          <w:bCs/>
          <w:b/>
        </w:rPr>
        <w:t xml:space="preserve">National Alignment:</w:t>
      </w:r>
      <w:r>
        <w:t xml:space="preserve"> </w:t>
      </w:r>
      <w:r>
        <w:t xml:space="preserve">Direct contribution to UAE's "National Strategy for the Development of the Knowledge Sector" (2024-2030)</w:t>
      </w:r>
    </w:p>
    <w:bookmarkEnd w:id="32"/>
    <w:bookmarkStart w:id="33" w:name="conclusion"/>
    <w:p>
      <w:pPr>
        <w:pStyle w:val="Heading2"/>
      </w:pPr>
      <w:r>
        <w:t xml:space="preserve">Conclusion</w:t>
      </w:r>
    </w:p>
    <w:p>
      <w:pPr>
        <w:pStyle w:val="FirstParagraph"/>
      </w:pPr>
      <w:r>
        <w:t xml:space="preserve">The Librarian Marketing Plan delivers a culturally intelligent, regulation-compliant solution uniquely positioned to accelerate Dubai's knowledge economy ambitions. By embedding itself within the UAE's national vision and addressing Dubai-specific library challenges—from Arabic-language support to Smart City integration—this plan ensures Librarian becomes synonymous with modern library management in the United Arab Emirates. With aggressive yet realistic timelines aligned with Dubai’s 2030 goals, Librarian will not only capture market share but become an enabler of the UAE's global leadership in education and innovation.</w:t>
      </w:r>
    </w:p>
    <w:p>
      <w:pPr>
        <w:pStyle w:val="BodyText"/>
      </w:pPr>
      <w:r>
        <w:rPr>
          <w:bCs/>
          <w:b/>
        </w:rPr>
        <w:t xml:space="preserve">Approved By:</w:t>
      </w:r>
      <w:r>
        <w:t xml:space="preserve"> </w:t>
      </w:r>
      <w:r>
        <w:t xml:space="preserve">UAE Market Strategy Committee, Dubai</w:t>
      </w:r>
    </w:p>
    <w:p>
      <w:pPr>
        <w:pStyle w:val="BodyText"/>
      </w:pPr>
      <w:r>
        <w:rPr>
          <w:bCs/>
          <w:b/>
        </w:rPr>
        <w:t xml:space="preserve">Date:</w:t>
      </w:r>
      <w:r>
        <w:t xml:space="preserve"> </w:t>
      </w:r>
      <w:r>
        <w:t xml:space="preserve">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Dubai Library Management Solution</dc:title>
  <dc:creator/>
  <dc:language>en</dc:language>
  <cp:keywords/>
  <dcterms:created xsi:type="dcterms:W3CDTF">2026-07-24T00:21:50Z</dcterms:created>
  <dcterms:modified xsi:type="dcterms:W3CDTF">2026-07-24T00:21:50Z</dcterms:modified>
</cp:coreProperties>
</file>

<file path=docProps/custom.xml><?xml version="1.0" encoding="utf-8"?>
<Properties xmlns="http://schemas.openxmlformats.org/officeDocument/2006/custom-properties" xmlns:vt="http://schemas.openxmlformats.org/officeDocument/2006/docPropsVTypes"/>
</file>