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Modern</w:t>
      </w:r>
      <w:r>
        <w:t xml:space="preserve"> </w:t>
      </w:r>
      <w:r>
        <w:t xml:space="preserve">Library</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8" w:name="X5f0a9391d9844039762585e5c9b3a19a05688eb"/>
    <w:p>
      <w:pPr>
        <w:pStyle w:val="Heading1"/>
      </w:pPr>
      <w:r>
        <w:t xml:space="preserve">Marketing Plan for Enhanced Library Services at Tashkent Public Libraries: Leveraging the Librarian's Role in Uzbekistan's Digital Transformation</w:t>
      </w:r>
    </w:p>
    <w:bookmarkStart w:id="20" w:name="executive-summary"/>
    <w:p>
      <w:pPr>
        <w:pStyle w:val="Heading2"/>
      </w:pPr>
      <w:r>
        <w:t xml:space="preserve">Executive Summary</w:t>
      </w:r>
    </w:p>
    <w:p>
      <w:pPr>
        <w:pStyle w:val="FirstParagraph"/>
      </w:pPr>
      <w:r>
        <w:t xml:space="preserve">This comprehensive Marketing Plan outlines strategic initiatives to transform library services across Tashkent, Uzbekistan. It focuses on positioning the professional expertise of the Librarian as a central catalyst for community engagement and digital literacy within Uzbekistan's evolving educational landscape. By redefining the value proposition of public libraries, this plan addresses critical gaps in access to information resources while aligning with national priorities like "Digital Uzbekistan 2030" and UNESCO's library development goals. The core objective is to increase library patronage by 45% within 18 months through targeted campaigns that highlight the indispensable role of the Librarian in Tashkent's knowledge ecosystem.</w:t>
      </w:r>
    </w:p>
    <w:bookmarkEnd w:id="20"/>
    <w:bookmarkStart w:id="21" w:name="X08168ffc9507bd93178932f145cfb0cc972b157"/>
    <w:p>
      <w:pPr>
        <w:pStyle w:val="Heading2"/>
      </w:pPr>
      <w:r>
        <w:t xml:space="preserve">Current Market Landscape: Uzbekistan Tashkent</w:t>
      </w:r>
    </w:p>
    <w:p>
      <w:pPr>
        <w:pStyle w:val="FirstParagraph"/>
      </w:pPr>
      <w:r>
        <w:t xml:space="preserve">Tashkent, as Uzbekistan's capital and cultural hub, hosts over 120 public libraries serving a population exceeding 3 million. Despite significant government investment in library infrastructure under the "Digital Economy" initiative (2019-2030), challenges persist: low digital literacy among older demographics, underutilized e-resource collections, and limited awareness of modern library services beyond book lending. Crucially, the Librarian's role remains narrowly perceived as merely managing physical collections rather than facilitating information access and digital empowerment. This marketing plan directly targets this misperception in Uzbekistan Tashkent by reframing the Librarian as a community knowledge guide essential for national progress.</w:t>
      </w:r>
    </w:p>
    <w:bookmarkEnd w:id="21"/>
    <w:bookmarkStart w:id="22" w:name="target-audience-analysis"/>
    <w:p>
      <w:pPr>
        <w:pStyle w:val="Heading2"/>
      </w:pPr>
      <w:r>
        <w:t xml:space="preserve">Target Audience Analysis</w:t>
      </w:r>
    </w:p>
    <w:p>
      <w:pPr>
        <w:pStyle w:val="FirstParagraph"/>
      </w:pPr>
      <w:r>
        <w:t xml:space="preserve">Our primary segments in Tashkent are:</w:t>
      </w:r>
    </w:p>
    <w:p>
      <w:pPr>
        <w:numPr>
          <w:ilvl w:val="0"/>
          <w:numId w:val="1001"/>
        </w:numPr>
        <w:pStyle w:val="Compact"/>
      </w:pPr>
      <w:r>
        <w:rPr>
          <w:bCs/>
          <w:b/>
        </w:rPr>
        <w:t xml:space="preserve">Students &amp; Academics (30%):</w:t>
      </w:r>
      <w:r>
        <w:t xml:space="preserve"> </w:t>
      </w:r>
      <w:r>
        <w:t xml:space="preserve">University students at Tashkent State University, Uzbekistan National University of World Languages requiring research support.</w:t>
      </w:r>
    </w:p>
    <w:p>
      <w:pPr>
        <w:numPr>
          <w:ilvl w:val="0"/>
          <w:numId w:val="1001"/>
        </w:numPr>
        <w:pStyle w:val="Compact"/>
      </w:pPr>
      <w:r>
        <w:rPr>
          <w:bCs/>
          <w:b/>
        </w:rPr>
        <w:t xml:space="preserve">Digital Newcomers (45%):</w:t>
      </w:r>
      <w:r>
        <w:t xml:space="preserve"> </w:t>
      </w:r>
      <w:r>
        <w:t xml:space="preserve">Adults aged 35-60 seeking digital skills training amid Uzbekistan's rapid tech adoption.</w:t>
      </w:r>
    </w:p>
    <w:p>
      <w:pPr>
        <w:numPr>
          <w:ilvl w:val="0"/>
          <w:numId w:val="1001"/>
        </w:numPr>
        <w:pStyle w:val="Compact"/>
      </w:pPr>
      <w:r>
        <w:rPr>
          <w:bCs/>
          <w:b/>
        </w:rPr>
        <w:t xml:space="preserve">Community Families (25%):</w:t>
      </w:r>
      <w:r>
        <w:t xml:space="preserve"> </w:t>
      </w:r>
      <w:r>
        <w:t xml:space="preserve">Parents and children utilizing libraries for educational programs in Tashkent neighborhoods.</w:t>
      </w:r>
    </w:p>
    <w:p>
      <w:pPr>
        <w:pStyle w:val="FirstParagraph"/>
      </w:pPr>
      <w:r>
        <w:t xml:space="preserve">The Librarian emerges as the key touchpoint for all segments – not as a passive staff member but as an active facilitator of learning journeys. This plan positions the Librarian's expertise (in information science, digital tools, and local cultural resources) as the unique value driving engagement.</w:t>
      </w:r>
    </w:p>
    <w:bookmarkEnd w:id="22"/>
    <w:bookmarkStart w:id="23" w:name="positioning-statement"/>
    <w:p>
      <w:pPr>
        <w:pStyle w:val="Heading2"/>
      </w:pPr>
      <w:r>
        <w:t xml:space="preserve">Positioning Statement</w:t>
      </w:r>
    </w:p>
    <w:p>
      <w:pPr>
        <w:pStyle w:val="FirstParagraph"/>
      </w:pPr>
      <w:r>
        <w:t xml:space="preserve">"In Tashkent, Uzbekistan, our libraries empower every citizen through personalized guidance from expert Librarians. We transform access to knowledge into actionable opportunity – where the Librarian is your bridge to education, innovation, and cultural identity in modern Uzbekistan."</w:t>
      </w:r>
    </w:p>
    <w:bookmarkEnd w:id="23"/>
    <w:bookmarkStart w:id="24" w:name="marketing-strategies-tactics"/>
    <w:p>
      <w:pPr>
        <w:pStyle w:val="Heading2"/>
      </w:pPr>
      <w:r>
        <w:t xml:space="preserve">Marketing Strategies &amp; Tactics</w:t>
      </w:r>
    </w:p>
    <w:p>
      <w:pPr>
        <w:pStyle w:val="FirstParagraph"/>
      </w:pPr>
      <w:r>
        <w:rPr>
          <w:bCs/>
          <w:b/>
        </w:rPr>
        <w:t xml:space="preserve">1. Branding the Librarian as a Community Champion (Uzbekistan Context):</w:t>
      </w:r>
    </w:p>
    <w:p>
      <w:pPr>
        <w:numPr>
          <w:ilvl w:val="0"/>
          <w:numId w:val="1002"/>
        </w:numPr>
        <w:pStyle w:val="Compact"/>
      </w:pPr>
      <w:r>
        <w:t xml:space="preserve">Create "Librarian of the Month" campaigns featuring Tashkent-based Librarians via social media (Instagram, Telegram), highlighting their work supporting local students, SMEs, or cultural projects.</w:t>
      </w:r>
    </w:p>
    <w:p>
      <w:pPr>
        <w:numPr>
          <w:ilvl w:val="0"/>
          <w:numId w:val="1002"/>
        </w:numPr>
        <w:pStyle w:val="Compact"/>
      </w:pPr>
      <w:r>
        <w:t xml:space="preserve">Develop multilingual content (Uzbek/Russian/English) showcasing how the Librarian helps patrons access government digital services like "e-Government" portals.</w:t>
      </w:r>
    </w:p>
    <w:p>
      <w:pPr>
        <w:pStyle w:val="FirstParagraph"/>
      </w:pPr>
      <w:r>
        <w:rPr>
          <w:bCs/>
          <w:b/>
        </w:rPr>
        <w:t xml:space="preserve">2. Digital Transformation Campaigns:</w:t>
      </w:r>
    </w:p>
    <w:p>
      <w:pPr>
        <w:numPr>
          <w:ilvl w:val="0"/>
          <w:numId w:val="1003"/>
        </w:numPr>
        <w:pStyle w:val="Compact"/>
      </w:pPr>
      <w:r>
        <w:t xml:space="preserve">Pilot "Digital Literacy Hubs" at 10 key Tashkent libraries, led by Librarians offering free workshops on e-government platforms and online research – directly supporting Uzbekistan's national digital goals.</w:t>
      </w:r>
    </w:p>
    <w:p>
      <w:pPr>
        <w:numPr>
          <w:ilvl w:val="0"/>
          <w:numId w:val="1003"/>
        </w:numPr>
        <w:pStyle w:val="Compact"/>
      </w:pPr>
      <w:r>
        <w:t xml:space="preserve">Launch a geo-targeted mobile app campaign (Tashkent-specific) allowing users to book Librarian consultations for academic or career guidance.</w:t>
      </w:r>
    </w:p>
    <w:p>
      <w:pPr>
        <w:pStyle w:val="FirstParagraph"/>
      </w:pPr>
      <w:r>
        <w:rPr>
          <w:bCs/>
          <w:b/>
        </w:rPr>
        <w:t xml:space="preserve">3. Strategic Partnerships in Tashkent:</w:t>
      </w:r>
    </w:p>
    <w:p>
      <w:pPr>
        <w:numPr>
          <w:ilvl w:val="0"/>
          <w:numId w:val="1004"/>
        </w:numPr>
        <w:pStyle w:val="Compact"/>
      </w:pPr>
      <w:r>
        <w:t xml:space="preserve">Collaborate with Tashkent City Administration on "Library Access for All" initiatives, using Librarians to support municipal digital literacy programs.</w:t>
      </w:r>
    </w:p>
    <w:p>
      <w:pPr>
        <w:pStyle w:val="FirstParagraph"/>
      </w:pPr>
      <w:r>
        <w:rPr>
          <w:bCs/>
          <w:b/>
        </w:rPr>
        <w:t xml:space="preserve">4. Community Engagement Events:</w:t>
      </w:r>
    </w:p>
    <w:p>
      <w:pPr>
        <w:numPr>
          <w:ilvl w:val="0"/>
          <w:numId w:val="1005"/>
        </w:numPr>
        <w:pStyle w:val="Compact"/>
      </w:pPr>
      <w:r>
        <w:t xml:space="preserve">Host "Knowledge Festivals" in Tashkent parks featuring Librarians conducting interactive sessions on topics like "Finding Reliable Information Online" or "Uzbek Cultural Heritage Digitization."</w:t>
      </w:r>
    </w:p>
    <w:p>
      <w:pPr>
        <w:numPr>
          <w:ilvl w:val="0"/>
          <w:numId w:val="1005"/>
        </w:numPr>
        <w:pStyle w:val="Compact"/>
      </w:pPr>
      <w:r>
        <w:t xml:space="preserve">Partner with local NGOs (e.g., Women's Development Centers) to train Librarians in delivering specialized programs for underserved groups.</w:t>
      </w:r>
    </w:p>
    <w:bookmarkEnd w:id="24"/>
    <w:bookmarkStart w:id="25" w:name="budget-allocation-timeline"/>
    <w:p>
      <w:pPr>
        <w:pStyle w:val="Heading2"/>
      </w:pPr>
      <w:r>
        <w:t xml:space="preserve">Budget Allocation &amp; Timeline</w:t>
      </w:r>
    </w:p>
    <w:p>
      <w:pPr>
        <w:pStyle w:val="FirstParagraph"/>
      </w:pPr>
      <w:r>
        <w:rPr>
          <w:bCs/>
          <w:b/>
        </w:rPr>
        <w:t xml:space="preserve">Year 1 Budget: $15,000 USD</w:t>
      </w:r>
    </w:p>
    <w:p>
      <w:pPr>
        <w:numPr>
          <w:ilvl w:val="0"/>
          <w:numId w:val="1006"/>
        </w:numPr>
        <w:pStyle w:val="Compact"/>
      </w:pPr>
      <w:r>
        <w:t xml:space="preserve">Content Creation (Multilingual Social Media/Print): $4,500</w:t>
      </w:r>
    </w:p>
    <w:p>
      <w:pPr>
        <w:numPr>
          <w:ilvl w:val="0"/>
          <w:numId w:val="1006"/>
        </w:numPr>
        <w:pStyle w:val="Compact"/>
      </w:pPr>
      <w:r>
        <w:t xml:space="preserve">Digital Campaigns (Geo-targeted Ads in Tashkent): $3,800</w:t>
      </w:r>
    </w:p>
    <w:p>
      <w:pPr>
        <w:numPr>
          <w:ilvl w:val="0"/>
          <w:numId w:val="1006"/>
        </w:numPr>
        <w:pStyle w:val="Compact"/>
      </w:pPr>
      <w:r>
        <w:t xml:space="preserve">Workshop Materials &amp; Librarian Training: $4,200</w:t>
      </w:r>
    </w:p>
    <w:p>
      <w:pPr>
        <w:numPr>
          <w:ilvl w:val="0"/>
          <w:numId w:val="1006"/>
        </w:numPr>
        <w:pStyle w:val="Compact"/>
      </w:pPr>
      <w:r>
        <w:t xml:space="preserve">Partnership Development Events: $2,500</w:t>
      </w:r>
    </w:p>
    <w:p>
      <w:pPr>
        <w:pStyle w:val="FirstParagraph"/>
      </w:pPr>
      <w:r>
        <w:rPr>
          <w:bCs/>
          <w:b/>
        </w:rPr>
        <w:t xml:space="preserve">Timeline:</w:t>
      </w:r>
    </w:p>
    <w:p>
      <w:pPr>
        <w:numPr>
          <w:ilvl w:val="0"/>
          <w:numId w:val="1007"/>
        </w:numPr>
        <w:pStyle w:val="Compact"/>
      </w:pPr>
      <w:r>
        <w:rPr>
          <w:iCs/>
          <w:i/>
        </w:rPr>
        <w:t xml:space="preserve">Months 1-3:</w:t>
      </w:r>
      <w:r>
        <w:t xml:space="preserve"> </w:t>
      </w:r>
      <w:r>
        <w:t xml:space="preserve">Branding overhaul; Librarian training in community engagement.</w:t>
      </w:r>
    </w:p>
    <w:p>
      <w:pPr>
        <w:numPr>
          <w:ilvl w:val="0"/>
          <w:numId w:val="1007"/>
        </w:numPr>
        <w:pStyle w:val="Compact"/>
      </w:pPr>
      <w:r>
        <w:rPr>
          <w:iCs/>
          <w:i/>
        </w:rPr>
        <w:t xml:space="preserve">Months 4-9:</w:t>
      </w:r>
      <w:r>
        <w:t xml:space="preserve"> </w:t>
      </w:r>
      <w:r>
        <w:t xml:space="preserve">Rollout of Digital Literacy Hubs; Launch "Librarian of the Month" campaign.</w:t>
      </w:r>
    </w:p>
    <w:p>
      <w:pPr>
        <w:numPr>
          <w:ilvl w:val="0"/>
          <w:numId w:val="1007"/>
        </w:numPr>
        <w:pStyle w:val="Compact"/>
      </w:pPr>
      <w:r>
        <w:rPr>
          <w:iCs/>
          <w:i/>
        </w:rPr>
        <w:t xml:space="preserve">Months 10-18:</w:t>
      </w:r>
      <w:r>
        <w:t xml:space="preserve"> </w:t>
      </w:r>
      <w:r>
        <w:t xml:space="preserve">Scale successful pilots across all Tashkent districts; Evaluate impact via KPIs.</w:t>
      </w:r>
    </w:p>
    <w:bookmarkEnd w:id="25"/>
    <w:bookmarkStart w:id="26" w:name="kpis-measurement"/>
    <w:p>
      <w:pPr>
        <w:pStyle w:val="Heading2"/>
      </w:pPr>
      <w:r>
        <w:t xml:space="preserve">KPIs &amp; Measurement</w:t>
      </w:r>
    </w:p>
    <w:p>
      <w:pPr>
        <w:pStyle w:val="FirstParagraph"/>
      </w:pPr>
      <w:r>
        <w:t xml:space="preserve">We will track success through:</w:t>
      </w:r>
    </w:p>
    <w:p>
      <w:pPr>
        <w:numPr>
          <w:ilvl w:val="0"/>
          <w:numId w:val="1008"/>
        </w:numPr>
        <w:pStyle w:val="Compact"/>
      </w:pPr>
      <w:r>
        <w:rPr>
          <w:bCs/>
          <w:b/>
        </w:rPr>
        <w:t xml:space="preserve">Patron Increase:</w:t>
      </w:r>
      <w:r>
        <w:t xml:space="preserve"> </w:t>
      </w:r>
      <w:r>
        <w:t xml:space="preserve">45% rise in library visits from target segments (Tashkent-specific).</w:t>
      </w:r>
    </w:p>
    <w:p>
      <w:pPr>
        <w:numPr>
          <w:ilvl w:val="0"/>
          <w:numId w:val="1008"/>
        </w:numPr>
        <w:pStyle w:val="Compact"/>
      </w:pPr>
      <w:r>
        <w:rPr>
          <w:bCs/>
          <w:b/>
        </w:rPr>
        <w:t xml:space="preserve">Digital Engagement:</w:t>
      </w:r>
      <w:r>
        <w:t xml:space="preserve"> </w:t>
      </w:r>
      <w:r>
        <w:t xml:space="preserve">30% growth in e-resource usage and workshop attendance.</w:t>
      </w:r>
    </w:p>
    <w:p>
      <w:pPr>
        <w:numPr>
          <w:ilvl w:val="0"/>
          <w:numId w:val="1008"/>
        </w:numPr>
        <w:pStyle w:val="Compact"/>
      </w:pPr>
      <w:r>
        <w:rPr>
          <w:bCs/>
          <w:b/>
        </w:rPr>
        <w:t xml:space="preserve">Perception Shift:</w:t>
      </w:r>
      <w:r>
        <w:t xml:space="preserve"> </w:t>
      </w:r>
      <w:r>
        <w:t xml:space="preserve">Pre/post-campaign surveys measuring "Librarian" as a trusted advisor (target: 65% positive perception).</w:t>
      </w:r>
    </w:p>
    <w:p>
      <w:pPr>
        <w:numPr>
          <w:ilvl w:val="0"/>
          <w:numId w:val="1008"/>
        </w:numPr>
        <w:pStyle w:val="Compact"/>
      </w:pPr>
      <w:r>
        <w:rPr>
          <w:bCs/>
          <w:b/>
        </w:rPr>
        <w:t xml:space="preserve">National Alignment:</w:t>
      </w:r>
      <w:r>
        <w:t xml:space="preserve"> </w:t>
      </w:r>
      <w:r>
        <w:t xml:space="preserve">Direct contribution to Uzbekistan's "Digital Literacy 2030" targets in Tashkent.</w:t>
      </w:r>
    </w:p>
    <w:bookmarkEnd w:id="26"/>
    <w:bookmarkStart w:id="27" w:name="X75b9380ccb8d2382f6e4f28b0d1e9cb831af154"/>
    <w:p>
      <w:pPr>
        <w:pStyle w:val="Heading2"/>
      </w:pPr>
      <w:r>
        <w:t xml:space="preserve">Conclusion: The Librarian as Uzbekistan's Knowledge Catalyst</w:t>
      </w:r>
    </w:p>
    <w:p>
      <w:pPr>
        <w:pStyle w:val="FirstParagraph"/>
      </w:pPr>
      <w:r>
        <w:t xml:space="preserve">This Marketing Plan transcends traditional library promotion. It recognizes that in Uzbekistan Tashkent, the Librarian is not merely an employee but a strategic asset driving national development through accessible knowledge. By investing in marketing the Librarian’s expertise and redefining their role as digital navigators, community leaders, and cultural stewards – we position public libraries as indispensable hubs for Tashkent's future. This plan delivers measurable impact aligned with Uzbekistan’s vision: where every citizen accesses opportunity through a knowledgeable Librarian. The journey begins not with books on shelves, but with the human connection at the heart of every library in Tashkent.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Modern Library Services in Tashkent, Uzbekistan</dc:title>
  <dc:creator/>
  <dc:language>en</dc:language>
  <cp:keywords/>
  <dcterms:created xsi:type="dcterms:W3CDTF">2025-12-12T02:49:00Z</dcterms:created>
  <dcterms:modified xsi:type="dcterms:W3CDTF">2025-12-12T02:49:00Z</dcterms:modified>
</cp:coreProperties>
</file>

<file path=docProps/custom.xml><?xml version="1.0" encoding="utf-8"?>
<Properties xmlns="http://schemas.openxmlformats.org/officeDocument/2006/custom-properties" xmlns:vt="http://schemas.openxmlformats.org/officeDocument/2006/docPropsVTypes"/>
</file>