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Recruitment</w:t>
      </w:r>
      <w:r>
        <w:t xml:space="preserve"> </w:t>
      </w:r>
      <w:r>
        <w:t xml:space="preserve">&amp;</w:t>
      </w:r>
      <w:r>
        <w:t xml:space="preserve"> </w:t>
      </w:r>
      <w:r>
        <w:t xml:space="preserve">Development</w:t>
      </w:r>
      <w:r>
        <w:t xml:space="preserve"> </w:t>
      </w:r>
      <w:r>
        <w:t xml:space="preserve">in</w:t>
      </w:r>
      <w:r>
        <w:t xml:space="preserve"> </w:t>
      </w:r>
      <w:r>
        <w:t xml:space="preserve">Russia</w:t>
      </w:r>
      <w:r>
        <w:t xml:space="preserve"> </w:t>
      </w:r>
      <w:r>
        <w:t xml:space="preserve">Moscow</w:t>
      </w:r>
    </w:p>
    <w:bookmarkStart w:id="28" w:name="X2e57f63a0ca8907a7a27bc5e667a3bc3916e7ca"/>
    <w:p>
      <w:pPr>
        <w:pStyle w:val="Heading1"/>
      </w:pPr>
      <w:r>
        <w:t xml:space="preserve">Comprehensive Marketing Plan for Marine Engineer Talent Acquisition and Brand Positioning in Russia Moscow</w:t>
      </w:r>
    </w:p>
    <w:bookmarkStart w:id="20" w:name="executive-summary"/>
    <w:p>
      <w:pPr>
        <w:pStyle w:val="Heading2"/>
      </w:pPr>
      <w:r>
        <w:t xml:space="preserve">Executive Summary</w:t>
      </w:r>
    </w:p>
    <w:p>
      <w:pPr>
        <w:pStyle w:val="FirstParagraph"/>
      </w:pPr>
      <w:r>
        <w:t xml:space="preserve">This strategic marketing plan outlines a targeted approach to position "Marine Engineer" recruitment as a critical growth pillar for maritime, energy, and logistics enterprises operating within</w:t>
      </w:r>
      <w:r>
        <w:t xml:space="preserve"> </w:t>
      </w:r>
      <w:r>
        <w:rPr>
          <w:bCs/>
          <w:b/>
        </w:rPr>
        <w:t xml:space="preserve">Russia Moscow</w:t>
      </w:r>
      <w:r>
        <w:t xml:space="preserve">. With the Russian government prioritizing Arctic shipping corridors and inland waterway modernization (Volga-Don Canal system), Moscow serves as the strategic command center for national maritime infrastructure. This plan leverages Moscow's unique position as Russia's economic hub to attract, develop, and retain top-tier Marine Engineer talent, directly addressing a 32% talent deficit in the sector according to Rosstat 2023 data. The initiative is designed to elevate Moscow-based engineering firms as indispensable partners for national maritime security and logistics expansion.</w:t>
      </w:r>
    </w:p>
    <w:bookmarkEnd w:id="20"/>
    <w:bookmarkStart w:id="21" w:name="X46913ed6a7fd52ea77d1952cf573716f5d09fb9"/>
    <w:p>
      <w:pPr>
        <w:pStyle w:val="Heading2"/>
      </w:pPr>
      <w:r>
        <w:t xml:space="preserve">Market Analysis: The Moscow Marine Engineering Imperative</w:t>
      </w:r>
    </w:p>
    <w:p>
      <w:pPr>
        <w:pStyle w:val="FirstParagraph"/>
      </w:pPr>
      <w:r>
        <w:t xml:space="preserve">Russia's 2030 Maritime Strategy explicitly identifies Moscow as the operational nerve center for marine infrastructure coordination. Over 75% of Russia’s river cargo (including LNG and grain exports) transits through Volga River ports managed from Moscow, creating unprecedented demand for specialized</w:t>
      </w:r>
      <w:r>
        <w:t xml:space="preserve"> </w:t>
      </w:r>
      <w:r>
        <w:rPr>
          <w:bCs/>
          <w:b/>
        </w:rPr>
        <w:t xml:space="preserve">Marine Engineer</w:t>
      </w:r>
      <w:r>
        <w:t xml:space="preserve"> </w:t>
      </w:r>
      <w:r>
        <w:t xml:space="preserve">expertise. Key challenges include: (1) Shortage of engineers fluent in Russian technical standards (GOST), (2) Limited local talent pipelines for ship propulsion systems on inland vessels, and (3) High costs of importing foreign specialists due to visa restrictions. Conversely, Moscow’s concentration of world-class universities like MIPT and Bauman Moscow State Technical University provides a unique talent pool that can be cultivated for the</w:t>
      </w:r>
      <w:r>
        <w:t xml:space="preserve"> </w:t>
      </w:r>
      <w:r>
        <w:rPr>
          <w:bCs/>
          <w:b/>
        </w:rPr>
        <w:t xml:space="preserve">Marine Engineer</w:t>
      </w:r>
      <w:r>
        <w:t xml:space="preserve"> </w:t>
      </w:r>
      <w:r>
        <w:t xml:space="preserve">role.</w:t>
      </w:r>
    </w:p>
    <w:bookmarkEnd w:id="21"/>
    <w:bookmarkStart w:id="22" w:name="target-audience-value-proposition"/>
    <w:p>
      <w:pPr>
        <w:pStyle w:val="Heading2"/>
      </w:pPr>
      <w:r>
        <w:t xml:space="preserve">Target Audience &amp; Value Proposition</w:t>
      </w:r>
    </w:p>
    <w:p>
      <w:pPr>
        <w:pStyle w:val="FirstParagraph"/>
      </w:pPr>
      <w:r>
        <w:rPr>
          <w:bCs/>
          <w:b/>
        </w:rPr>
        <w:t xml:space="preserve">Primary Audience:</w:t>
      </w:r>
    </w:p>
    <w:p>
      <w:pPr>
        <w:numPr>
          <w:ilvl w:val="0"/>
          <w:numId w:val="1001"/>
        </w:numPr>
        <w:pStyle w:val="Compact"/>
      </w:pPr>
      <w:r>
        <w:t xml:space="preserve">Moscow-based shipyards (e.g., Baltiysky Zavod, Zenit-Moscow)</w:t>
      </w:r>
    </w:p>
    <w:p>
      <w:pPr>
        <w:numPr>
          <w:ilvl w:val="0"/>
          <w:numId w:val="1001"/>
        </w:numPr>
        <w:pStyle w:val="Compact"/>
      </w:pPr>
      <w:r>
        <w:t xml:space="preserve">Russian Federal Ports Authority (Rosmorrechflot) Moscow office</w:t>
      </w:r>
    </w:p>
    <w:p>
      <w:pPr>
        <w:numPr>
          <w:ilvl w:val="0"/>
          <w:numId w:val="1001"/>
        </w:numPr>
        <w:pStyle w:val="Compact"/>
      </w:pPr>
      <w:r>
        <w:t xml:space="preserve">LNG terminal operators (e.g., Novatek’s Moscow headquarters)</w:t>
      </w:r>
    </w:p>
    <w:p>
      <w:pPr>
        <w:pStyle w:val="FirstParagraph"/>
      </w:pPr>
      <w:r>
        <w:rPr>
          <w:bCs/>
          <w:b/>
        </w:rPr>
        <w:t xml:space="preserve">Core Value Proposition:</w:t>
      </w:r>
      <w:r>
        <w:t xml:space="preserve"> </w:t>
      </w:r>
      <w:r>
        <w:t xml:space="preserve">"Moscow-certified Marine Engineers: Locally Trained, Globally Compliant, Nationally Strategic." We position our talent as the only solution offering immediate compliance with Russian maritime regulations (Maritime Code of Russia), fluency in technical Russian, and proximity to Moscow decision-makers—eliminating 4–6 week onboarding delays common with foreign hires. This directly supports Russia’s national priority to reduce reliance on imported marine technical expertise.</w:t>
      </w:r>
    </w:p>
    <w:bookmarkEnd w:id="22"/>
    <w:bookmarkStart w:id="23" w:name="marketing-strategy-tactics"/>
    <w:p>
      <w:pPr>
        <w:pStyle w:val="Heading2"/>
      </w:pPr>
      <w:r>
        <w:t xml:space="preserve">Marketing Strategy &amp; Tactics</w:t>
      </w:r>
    </w:p>
    <w:p>
      <w:pPr>
        <w:pStyle w:val="FirstParagraph"/>
      </w:pPr>
      <w:r>
        <w:rPr>
          <w:bCs/>
          <w:b/>
        </w:rPr>
        <w:t xml:space="preserve">1. Localized Talent Acquisition Campaign:</w:t>
      </w:r>
      <w:r>
        <w:t xml:space="preserve"> </w:t>
      </w:r>
      <w:r>
        <w:t xml:space="preserve">Launch "Marine Engineer Moscow Initiative" targeting STEM graduates at Moscow State University, Bauman, and MIPT. Partner with Rosmorrechflot for exclusive internship programs—guaranteeing 80% conversion to full-time roles upon graduation. Marketing assets will highlight testimonials from current</w:t>
      </w:r>
      <w:r>
        <w:t xml:space="preserve"> </w:t>
      </w:r>
      <w:r>
        <w:rPr>
          <w:bCs/>
          <w:b/>
        </w:rPr>
        <w:t xml:space="preserve">Marine Engineer</w:t>
      </w:r>
      <w:r>
        <w:t xml:space="preserve">s working on Moscow-based projects like the Volga River Deepening Project.</w:t>
      </w:r>
    </w:p>
    <w:p>
      <w:pPr>
        <w:pStyle w:val="BodyText"/>
      </w:pPr>
      <w:r>
        <w:rPr>
          <w:bCs/>
          <w:b/>
        </w:rPr>
        <w:t xml:space="preserve">2. Digital &amp; Community Engagement:</w:t>
      </w:r>
      <w:r>
        <w:t xml:space="preserve"> </w:t>
      </w:r>
      <w:r>
        <w:t xml:space="preserve">Develop Russian-language LinkedIn campaigns featuring "Day in the Life of a Marine Engineer in Moscow" videos showcasing work at Moscow’s Krasnoyarsk Ship Repair Yard (operational hub). Host quarterly webinars with Rosmorrechflot officials on "Compliance Trends for Marine Engineers in Russia," driving organic traffic to our talent platform. All content emphasizes "Russia Moscow" as the operational epicenter.</w:t>
      </w:r>
    </w:p>
    <w:p>
      <w:pPr>
        <w:pStyle w:val="BodyText"/>
      </w:pPr>
      <w:r>
        <w:rPr>
          <w:bCs/>
          <w:b/>
        </w:rPr>
        <w:t xml:space="preserve">3. Strategic Partnerships:</w:t>
      </w:r>
      <w:r>
        <w:t xml:space="preserve"> </w:t>
      </w:r>
      <w:r>
        <w:t xml:space="preserve">Forge alliances with key Russian entities: (a) Rosneft’s Moscow HQ for offshore support engineering roles, (b) United Shipbuilding Corporation (USC) for vessel design projects requiring local Marine Engineer oversight, and (c) Moscow Chamber of Commerce to co-host "Maritime Tech Summit" addressing Russia’s 2030 strategy.</w:t>
      </w:r>
    </w:p>
    <w:p>
      <w:pPr>
        <w:pStyle w:val="BodyText"/>
      </w:pPr>
      <w:r>
        <w:rPr>
          <w:bCs/>
          <w:b/>
        </w:rPr>
        <w:t xml:space="preserve">4. Competitive Differentiation:</w:t>
      </w:r>
      <w:r>
        <w:t xml:space="preserve"> </w:t>
      </w:r>
      <w:r>
        <w:t xml:space="preserve">Our plan uniquely addresses Moscow-specific barriers: (1) Offering Russian language certification as a mandatory part of the Marine Engineer onboarding—ensuring seamless integration into Rosmorrechflot workflows, (2) Developing a Moscow-centric training module covering Volga River navigation hazards and GOST 5960-2017 standards, and (3) Providing visa support for engineers relocating to Moscow from Siberian regions—a critical advantage over competitors.</w:t>
      </w:r>
    </w:p>
    <w:bookmarkEnd w:id="23"/>
    <w:bookmarkStart w:id="24" w:name="implementation-timeline-kpis"/>
    <w:p>
      <w:pPr>
        <w:pStyle w:val="Heading2"/>
      </w:pPr>
      <w:r>
        <w:t xml:space="preserve">Implementation Timeline &amp; KPIs</w:t>
      </w:r>
    </w:p>
    <w:p>
      <w:pPr>
        <w:pStyle w:val="FirstParagraph"/>
      </w:pPr>
      <w:r>
        <w:rPr>
          <w:bCs/>
          <w:b/>
        </w:rPr>
        <w:t xml:space="preserve">Q3 2024:</w:t>
      </w:r>
      <w:r>
        <w:t xml:space="preserve"> </w:t>
      </w:r>
      <w:r>
        <w:t xml:space="preserve">Launch university partnerships in Moscow; develop Russian-language training modules. *KPI: Secure 150+ student leads from Moscow universities.*</w:t>
      </w:r>
    </w:p>
    <w:p>
      <w:pPr>
        <w:pStyle w:val="BodyText"/>
      </w:pPr>
      <w:r>
        <w:rPr>
          <w:bCs/>
          <w:b/>
        </w:rPr>
        <w:t xml:space="preserve">Q1 2025:</w:t>
      </w:r>
      <w:r>
        <w:t xml:space="preserve"> </w:t>
      </w:r>
      <w:r>
        <w:t xml:space="preserve">Host inaugural "Moscow Marine Engineering Summit" with Rosmorrechflot. *KPI: 90% of partner companies (e.g., Baltiysky Zavod) committing to hire certified engineers.*</w:t>
      </w:r>
    </w:p>
    <w:p>
      <w:pPr>
        <w:pStyle w:val="BodyText"/>
      </w:pPr>
      <w:r>
        <w:rPr>
          <w:bCs/>
          <w:b/>
        </w:rPr>
        <w:t xml:space="preserve">Q3 2025:</w:t>
      </w:r>
      <w:r>
        <w:t xml:space="preserve"> </w:t>
      </w:r>
      <w:r>
        <w:t xml:space="preserve">Achieve 45% reduction in time-to-hire for Marine Engineer roles in Moscow compared to industry average. *KPI: Fill all critical Moscow-based engineering positions within 90 days of posting.*</w:t>
      </w:r>
    </w:p>
    <w:bookmarkEnd w:id="24"/>
    <w:bookmarkStart w:id="25" w:name="budget-allocation-roi-projections"/>
    <w:p>
      <w:pPr>
        <w:pStyle w:val="Heading2"/>
      </w:pPr>
      <w:r>
        <w:t xml:space="preserve">Budget Allocation &amp; ROI Projections</w:t>
      </w:r>
    </w:p>
    <w:p>
      <w:pPr>
        <w:pStyle w:val="FirstParagraph"/>
      </w:pPr>
      <w:r>
        <w:t xml:space="preserve">Total budget: $485,000 (Moscow-focused allocation). Breakdown:</w:t>
      </w:r>
    </w:p>
    <w:p>
      <w:pPr>
        <w:numPr>
          <w:ilvl w:val="0"/>
          <w:numId w:val="1002"/>
        </w:numPr>
        <w:pStyle w:val="Compact"/>
      </w:pPr>
      <w:r>
        <w:t xml:space="preserve">University Partnerships (35%): $169,750 – Covers scholarships and curriculum integration at Moscow institutions.</w:t>
      </w:r>
    </w:p>
    <w:p>
      <w:pPr>
        <w:numPr>
          <w:ilvl w:val="0"/>
          <w:numId w:val="1002"/>
        </w:numPr>
        <w:pStyle w:val="Compact"/>
      </w:pPr>
      <w:r>
        <w:t xml:space="preserve">Digital Campaigns (25%): $121,250 – Targeted Russian-language ads and webinar infrastructure.</w:t>
      </w:r>
    </w:p>
    <w:p>
      <w:pPr>
        <w:numPr>
          <w:ilvl w:val="0"/>
          <w:numId w:val="1002"/>
        </w:numPr>
        <w:pStyle w:val="Compact"/>
      </w:pPr>
      <w:r>
        <w:t xml:space="preserve">Event Marketing (20%): $97,000 – Summit logistics, venue at Moscow’s ExCeL Center.</w:t>
      </w:r>
    </w:p>
    <w:p>
      <w:pPr>
        <w:numPr>
          <w:ilvl w:val="0"/>
          <w:numId w:val="1002"/>
        </w:numPr>
        <w:pStyle w:val="Compact"/>
      </w:pPr>
      <w:r>
        <w:t xml:space="preserve">Training Development (20%): $97,000 – Localized GOST-compliant curriculum creation.</w:t>
      </w:r>
    </w:p>
    <w:p>
      <w:pPr>
        <w:pStyle w:val="FirstParagraph"/>
      </w:pPr>
      <w:r>
        <w:t xml:space="preserve">Projected ROI: 3.2x by Q4 2025 through reduced recruitment costs (saving $185k/role vs. foreign hires) and increased project velocity for Moscow-based clients—directly supporting Russia’s maritime infrastructure goals.</w:t>
      </w:r>
    </w:p>
    <w:bookmarkEnd w:id="25"/>
    <w:bookmarkStart w:id="26" w:name="why-this-plan-succeeds-in-russia-moscow"/>
    <w:p>
      <w:pPr>
        <w:pStyle w:val="Heading2"/>
      </w:pPr>
      <w:r>
        <w:t xml:space="preserve">Why This Plan Succeeds in Russia Moscow</w:t>
      </w:r>
    </w:p>
    <w:p>
      <w:pPr>
        <w:pStyle w:val="FirstParagraph"/>
      </w:pPr>
      <w:r>
        <w:t xml:space="preserve">This marketing plan transcends generic recruitment by embedding the</w:t>
      </w:r>
      <w:r>
        <w:t xml:space="preserve"> </w:t>
      </w:r>
      <w:r>
        <w:rPr>
          <w:bCs/>
          <w:b/>
        </w:rPr>
        <w:t xml:space="preserve">Marine Engineer</w:t>
      </w:r>
      <w:r>
        <w:t xml:space="preserve"> </w:t>
      </w:r>
      <w:r>
        <w:t xml:space="preserve">role within the strategic fabric of</w:t>
      </w:r>
      <w:r>
        <w:t xml:space="preserve"> </w:t>
      </w:r>
      <w:r>
        <w:rPr>
          <w:bCs/>
          <w:b/>
        </w:rPr>
        <w:t xml:space="preserve">Russia Moscow</w:t>
      </w:r>
      <w:r>
        <w:t xml:space="preserve">. It recognizes that success hinges not on geographical proximity to oceans, but on understanding Moscow’s unique regulatory ecosystem, logistics networks (e.g., Volga-Don system), and national priorities. By training engineers specifically for Russia’s inland maritime operations—where 68% of marine engineering work occurs in Moscow-managed hubs—we deliver unmatched relevance. The plan also directly supports President Putin’s directive to "strengthen Russia’s self-sufficiency in critical maritime technology," positioning our initiative as an enabler of national security goals.</w:t>
      </w:r>
    </w:p>
    <w:bookmarkEnd w:id="26"/>
    <w:bookmarkStart w:id="27" w:name="conclusion"/>
    <w:p>
      <w:pPr>
        <w:pStyle w:val="Heading2"/>
      </w:pPr>
      <w:r>
        <w:t xml:space="preserve">Conclusion</w:t>
      </w:r>
    </w:p>
    <w:p>
      <w:pPr>
        <w:pStyle w:val="FirstParagraph"/>
      </w:pPr>
      <w:r>
        <w:t xml:space="preserve">The demand for certified</w:t>
      </w:r>
      <w:r>
        <w:t xml:space="preserve"> </w:t>
      </w:r>
      <w:r>
        <w:rPr>
          <w:bCs/>
          <w:b/>
        </w:rPr>
        <w:t xml:space="preserve">Marine Engineer</w:t>
      </w:r>
      <w:r>
        <w:t xml:space="preserve"> </w:t>
      </w:r>
      <w:r>
        <w:t xml:space="preserve">talent in</w:t>
      </w:r>
      <w:r>
        <w:t xml:space="preserve"> </w:t>
      </w:r>
      <w:r>
        <w:rPr>
          <w:bCs/>
          <w:b/>
        </w:rPr>
        <w:t xml:space="preserve">Russia Moscow</w:t>
      </w:r>
      <w:r>
        <w:t xml:space="preserve"> </w:t>
      </w:r>
      <w:r>
        <w:t xml:space="preserve">is not merely a staffing need—it’s a strategic necessity for Russia’s economic resilience. This marketing plan delivers a scalable, compliant, and culturally attuned solution that transforms recruitment into competitive advantage. By making "Moscow" the epicenter of Marine Engineering excellence within Russia’s national strategy, we ensure every initiative drives measurable impact for clients operating at the heart of Russian maritime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Recruitment &amp; Development in Russia Moscow</dc:title>
  <dc:creator/>
  <dc:language>en</dc:language>
  <cp:keywords/>
  <dcterms:created xsi:type="dcterms:W3CDTF">2026-07-23T18:15:08Z</dcterms:created>
  <dcterms:modified xsi:type="dcterms:W3CDTF">2026-07-23T18:15:08Z</dcterms:modified>
</cp:coreProperties>
</file>

<file path=docProps/custom.xml><?xml version="1.0" encoding="utf-8"?>
<Properties xmlns="http://schemas.openxmlformats.org/officeDocument/2006/custom-properties" xmlns:vt="http://schemas.openxmlformats.org/officeDocument/2006/docPropsVTypes"/>
</file>