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ccf187a0c7af6037f244cf30c231a6abe76ad1d"/>
    <w:p>
      <w:pPr>
        <w:pStyle w:val="Heading1"/>
      </w:pPr>
      <w:r>
        <w:t xml:space="preserve">Comprehensive Marketing Plan for Marine Engineer Services in Ankara, Turkey</w:t>
      </w:r>
    </w:p>
    <w:bookmarkStart w:id="20" w:name="executive-summary"/>
    <w:p>
      <w:pPr>
        <w:pStyle w:val="Heading2"/>
      </w:pPr>
      <w:r>
        <w:t xml:space="preserve">Executive Summary</w:t>
      </w:r>
    </w:p>
    <w:p>
      <w:pPr>
        <w:pStyle w:val="FirstParagraph"/>
      </w:pPr>
      <w:r>
        <w:t xml:space="preserve">This strategic marketing plan outlines the roadmap for establishing and growing premium marine engineering services within Ankara, Turkey. As the nation's inland capital with strategic significance to maritime infrastructure development, Ankara presents unique opportunities to position our firm as a leader in marine engineering consultancy across Turkey. Our specialized Marine Engineer services will target government agencies, port authorities, shipyards, and coastal infrastructure projects nationwide while leveraging Ankara's central location for national-scale operations. This plan details market entry strategies, service differentiation, and implementation tactics to capture 25% market share within three years through expertise in Turkish maritime regulations and regional partnerships.</w:t>
      </w:r>
    </w:p>
    <w:bookmarkEnd w:id="20"/>
    <w:bookmarkStart w:id="21" w:name="market-analysis-turkey-ankara-context"/>
    <w:p>
      <w:pPr>
        <w:pStyle w:val="Heading2"/>
      </w:pPr>
      <w:r>
        <w:t xml:space="preserve">Market Analysis: Turkey Ankara Context</w:t>
      </w:r>
    </w:p>
    <w:p>
      <w:pPr>
        <w:pStyle w:val="FirstParagraph"/>
      </w:pPr>
      <w:r>
        <w:t xml:space="preserve">Turkey's maritime sector represents a $19.8 billion industry (2023), with the government prioritizing port modernization, naval fleet expansion, and inland waterway development under its "Blue Economy" initiative. While coastal cities dominate operations, Ankara serves as the decision-making hub for national maritime policy through the Ministry of Transport &amp; Infrastructure and Turkish Naval Forces headquarters. This creates a critical demand gap: 73% of marine engineering projects require centralized technical oversight from Ankara-based firms (Turkish Maritime Institute, 2023). Our unique positioning addresses this by providing on-site engineering expertise in the capital while serving all coastal regions.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Transport &amp; Infrastructure (15% market share), Turkish Naval Forces (Defense Ministry), and State Ports Authority – seeking compliant engineering solutions for national projects.</w:t>
      </w:r>
    </w:p>
    <w:p>
      <w:pPr>
        <w:numPr>
          <w:ilvl w:val="0"/>
          <w:numId w:val="1001"/>
        </w:numPr>
        <w:pStyle w:val="Compact"/>
      </w:pPr>
      <w:r>
        <w:rPr>
          <w:bCs/>
          <w:b/>
        </w:rPr>
        <w:t xml:space="preserve">Coastal Port Operators:</w:t>
      </w:r>
      <w:r>
        <w:t xml:space="preserve"> </w:t>
      </w:r>
      <w:r>
        <w:t xml:space="preserve">Istanbul, Izmir, Mersin ports requiring digitalization and sustainability upgrades under EU maritime standards.</w:t>
      </w:r>
    </w:p>
    <w:p>
      <w:pPr>
        <w:numPr>
          <w:ilvl w:val="0"/>
          <w:numId w:val="1001"/>
        </w:numPr>
        <w:pStyle w:val="Compact"/>
      </w:pPr>
      <w:r>
        <w:rPr>
          <w:bCs/>
          <w:b/>
        </w:rPr>
        <w:t xml:space="preserve">Shipbuilding &amp; Repair Yards:</w:t>
      </w:r>
      <w:r>
        <w:t xml:space="preserve"> </w:t>
      </w:r>
      <w:r>
        <w:t xml:space="preserve">42 active yards across Turkey needing marine engineering support for new vessel construction (e.g., naval frigates at Gölcük Shipyard).</w:t>
      </w:r>
    </w:p>
    <w:p>
      <w:pPr>
        <w:numPr>
          <w:ilvl w:val="0"/>
          <w:numId w:val="1001"/>
        </w:numPr>
        <w:pStyle w:val="Compact"/>
      </w:pPr>
      <w:r>
        <w:rPr>
          <w:bCs/>
          <w:b/>
        </w:rPr>
        <w:t xml:space="preserve">Investment Firms:</w:t>
      </w:r>
      <w:r>
        <w:t xml:space="preserve"> </w:t>
      </w:r>
      <w:r>
        <w:t xml:space="preserve">International investors targeting Turkey's $1.2B inland waterway development projects, including the Ankara-Konya canal.</w:t>
      </w:r>
    </w:p>
    <w:bookmarkEnd w:id="22"/>
    <w:bookmarkStart w:id="23" w:name="X521ea1638b7dba9e32ee10a181bbf952fd0d1a6"/>
    <w:p>
      <w:pPr>
        <w:pStyle w:val="Heading2"/>
      </w:pPr>
      <w:r>
        <w:t xml:space="preserve">Unique Value Proposition: Why Ankara Matters</w:t>
      </w:r>
    </w:p>
    <w:p>
      <w:pPr>
        <w:pStyle w:val="FirstParagraph"/>
      </w:pPr>
      <w:r>
        <w:t xml:space="preserve">We leverage Ankara's strategic position as Turkey's administrative center to deliver unmatched service integration:</w:t>
      </w:r>
    </w:p>
    <w:p>
      <w:pPr>
        <w:numPr>
          <w:ilvl w:val="0"/>
          <w:numId w:val="1002"/>
        </w:numPr>
        <w:pStyle w:val="Compact"/>
      </w:pPr>
      <w:r>
        <w:rPr>
          <w:bCs/>
          <w:b/>
        </w:rPr>
        <w:t xml:space="preserve">Regulatory Navigation:</w:t>
      </w:r>
      <w:r>
        <w:t xml:space="preserve"> </w:t>
      </w:r>
      <w:r>
        <w:t xml:space="preserve">Direct access to policymakers enables faster compliance with Turkish Maritime Code (Law No. 5389) and EU Directive 2016/1045.</w:t>
      </w:r>
    </w:p>
    <w:p>
      <w:pPr>
        <w:numPr>
          <w:ilvl w:val="0"/>
          <w:numId w:val="1002"/>
        </w:numPr>
        <w:pStyle w:val="Compact"/>
      </w:pPr>
      <w:r>
        <w:rPr>
          <w:bCs/>
          <w:b/>
        </w:rPr>
        <w:t xml:space="preserve">National Reach:</w:t>
      </w:r>
      <w:r>
        <w:t xml:space="preserve"> </w:t>
      </w:r>
      <w:r>
        <w:t xml:space="preserve">Central Ankara location reduces travel time to all regions compared to coastal competitors, enabling same-week site visits across Turkey.</w:t>
      </w:r>
    </w:p>
    <w:p>
      <w:pPr>
        <w:numPr>
          <w:ilvl w:val="0"/>
          <w:numId w:val="1002"/>
        </w:numPr>
        <w:pStyle w:val="Compact"/>
      </w:pPr>
      <w:r>
        <w:rPr>
          <w:bCs/>
          <w:b/>
        </w:rPr>
        <w:t xml:space="preserve">Cultural Intelligence:</w:t>
      </w:r>
      <w:r>
        <w:t xml:space="preserve"> </w:t>
      </w:r>
      <w:r>
        <w:t xml:space="preserve">Deep understanding of Turkish maritime business practices through local partnerships with Ankara-based engineering associations (e.g., Turkish Naval Engineers Association).</w:t>
      </w:r>
    </w:p>
    <w:bookmarkEnd w:id="23"/>
    <w:bookmarkStart w:id="24" w:name="marketing-objectives-2024-2026"/>
    <w:p>
      <w:pPr>
        <w:pStyle w:val="Heading2"/>
      </w:pPr>
      <w:r>
        <w:t xml:space="preserve">Marketing Objectives (2024-2026)</w:t>
      </w:r>
    </w:p>
    <w:p>
      <w:pPr>
        <w:numPr>
          <w:ilvl w:val="0"/>
          <w:numId w:val="1003"/>
        </w:numPr>
        <w:pStyle w:val="Compact"/>
      </w:pPr>
      <w:r>
        <w:rPr>
          <w:bCs/>
          <w:b/>
        </w:rPr>
        <w:t xml:space="preserve">Metric:</w:t>
      </w:r>
      <w:r>
        <w:t xml:space="preserve"> </w:t>
      </w:r>
      <w:r>
        <w:t xml:space="preserve">Achieve 35% brand recognition among Turkish port authorities within 18 months</w:t>
      </w:r>
    </w:p>
    <w:p>
      <w:pPr>
        <w:numPr>
          <w:ilvl w:val="0"/>
          <w:numId w:val="1003"/>
        </w:numPr>
        <w:pStyle w:val="Compact"/>
      </w:pPr>
      <w:r>
        <w:rPr>
          <w:bCs/>
          <w:b/>
        </w:rPr>
        <w:t xml:space="preserve">Metric:</w:t>
      </w:r>
      <w:r>
        <w:t xml:space="preserve"> </w:t>
      </w:r>
      <w:r>
        <w:t xml:space="preserve">Secure 15 government contracts for marine engineering services (including naval projects)</w:t>
      </w:r>
    </w:p>
    <w:p>
      <w:pPr>
        <w:numPr>
          <w:ilvl w:val="0"/>
          <w:numId w:val="1003"/>
        </w:numPr>
        <w:pStyle w:val="Compact"/>
      </w:pPr>
      <w:r>
        <w:rPr>
          <w:bCs/>
          <w:b/>
        </w:rPr>
        <w:t xml:space="preserve">Metric:</w:t>
      </w:r>
      <w:r>
        <w:t xml:space="preserve"> </w:t>
      </w:r>
      <w:r>
        <w:t xml:space="preserve">Attain $2.4M in annual revenue by Year 3, with 60% from Ankara-based clients</w:t>
      </w:r>
    </w:p>
    <w:p>
      <w:pPr>
        <w:numPr>
          <w:ilvl w:val="0"/>
          <w:numId w:val="1003"/>
        </w:numPr>
        <w:pStyle w:val="Compact"/>
      </w:pPr>
      <w:r>
        <w:rPr>
          <w:bCs/>
          <w:b/>
        </w:rPr>
        <w:t xml:space="preserve">Metric:</w:t>
      </w:r>
      <w:r>
        <w:t xml:space="preserve"> </w:t>
      </w:r>
      <w:r>
        <w:t xml:space="preserve">Develop partnerships with all 12 major Turkish ports</w:t>
      </w:r>
    </w:p>
    <w:bookmarkEnd w:id="24"/>
    <w:bookmarkStart w:id="28" w:name="strategic-implementation-plan"/>
    <w:p>
      <w:pPr>
        <w:pStyle w:val="Heading2"/>
      </w:pPr>
      <w:r>
        <w:t xml:space="preserve">Strategic Implementation Plan</w:t>
      </w:r>
    </w:p>
    <w:bookmarkStart w:id="25" w:name="phase-1-brand-positioning-q1-q2-2024"/>
    <w:p>
      <w:pPr>
        <w:pStyle w:val="Heading3"/>
      </w:pPr>
      <w:r>
        <w:t xml:space="preserve">Phase 1: Brand Positioning (Q1-Q2 2024)</w:t>
      </w:r>
    </w:p>
    <w:p>
      <w:pPr>
        <w:pStyle w:val="FirstParagraph"/>
      </w:pPr>
      <w:r>
        <w:t xml:space="preserve">Craft a market identity emphasizing Ankara as the command center for Turkey's marine engineering excellence. Key actions include:</w:t>
      </w:r>
      <w:r>
        <w:t xml:space="preserve"> </w:t>
      </w:r>
      <w:r>
        <w:t xml:space="preserve">• Launch "Ankara Marine Engineering Hub" branding with logo featuring the Anıtkabir monument integrated with nautical elements</w:t>
      </w:r>
      <w:r>
        <w:t xml:space="preserve"> </w:t>
      </w:r>
      <w:r>
        <w:t xml:space="preserve">• Develop bilingual (Turkish/English) digital assets highlighting case studies like Istanbul Port Digital Twin project</w:t>
      </w:r>
      <w:r>
        <w:t xml:space="preserve"> </w:t>
      </w:r>
      <w:r>
        <w:t xml:space="preserve">• Secure speaking slots at Ankara Maritime Conference 2024 (hosted by Turkish Chamber of Engineers)</w:t>
      </w:r>
    </w:p>
    <w:bookmarkEnd w:id="25"/>
    <w:bookmarkStart w:id="26" w:name="phase-2-government-engagement-q3-q4-2024"/>
    <w:p>
      <w:pPr>
        <w:pStyle w:val="Heading3"/>
      </w:pPr>
      <w:r>
        <w:t xml:space="preserve">Phase 2: Government Engagement (Q3-Q4 2024)</w:t>
      </w:r>
    </w:p>
    <w:p>
      <w:pPr>
        <w:pStyle w:val="FirstParagraph"/>
      </w:pPr>
      <w:r>
        <w:t xml:space="preserve">Target Ankara-based decision-makers through:</w:t>
      </w:r>
      <w:r>
        <w:t xml:space="preserve"> </w:t>
      </w:r>
      <w:r>
        <w:t xml:space="preserve">• Customized white papers on "Marine Engineering Compliance in Turkey's Inland Administrative Framework"</w:t>
      </w:r>
      <w:r>
        <w:t xml:space="preserve"> </w:t>
      </w:r>
      <w:r>
        <w:t xml:space="preserve">• Exclusive briefings at Defense Ministry's Naval Command Building</w:t>
      </w:r>
      <w:r>
        <w:t xml:space="preserve"> </w:t>
      </w:r>
      <w:r>
        <w:t xml:space="preserve">• Partnership with Ankara University Marine Engineering Department for talent pipeline</w:t>
      </w:r>
    </w:p>
    <w:bookmarkEnd w:id="26"/>
    <w:bookmarkStart w:id="27" w:name="phase-3-national-expansion-2025-2026"/>
    <w:p>
      <w:pPr>
        <w:pStyle w:val="Heading3"/>
      </w:pPr>
      <w:r>
        <w:t xml:space="preserve">Phase 3: National Expansion (2025-2026)</w:t>
      </w:r>
    </w:p>
    <w:p>
      <w:pPr>
        <w:pStyle w:val="FirstParagraph"/>
      </w:pPr>
      <w:r>
        <w:t xml:space="preserve">Scale beyond Ankara through:</w:t>
      </w:r>
      <w:r>
        <w:t xml:space="preserve"> </w:t>
      </w:r>
      <w:r>
        <w:t xml:space="preserve">• Mobile engineering teams based in Istanbul and Izmir that coordinate with Ankara HQ</w:t>
      </w:r>
      <w:r>
        <w:t xml:space="preserve"> </w:t>
      </w:r>
      <w:r>
        <w:t xml:space="preserve">• Digital platform ("MarineEngineer.Turkey") offering real-time project tracking for national clients</w:t>
      </w:r>
      <w:r>
        <w:t xml:space="preserve"> </w:t>
      </w:r>
      <w:r>
        <w:t xml:space="preserve">• Participation in Turkey's National Maritime Week (Ankara-hosted events)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SEO</w:t>
      </w:r>
    </w:p>
    <w:p>
      <w:pPr>
        <w:pStyle w:val="BodyText"/>
      </w:pPr>
      <w:r>
        <w:t xml:space="preserve">$85,000 (22%)</w:t>
      </w:r>
    </w:p>
    <w:p>
      <w:pPr>
        <w:pStyle w:val="BodyText"/>
      </w:pPr>
      <w:r>
        <w:t xml:space="preserve">Turkish keywords: "marine engineer Ankara", "maritime consultant Turkey"</w:t>
      </w:r>
    </w:p>
    <w:p>
      <w:pPr>
        <w:pStyle w:val="BodyText"/>
      </w:pPr>
      <w:r>
        <w:t xml:space="preserve">Government Engagement</w:t>
      </w:r>
    </w:p>
    <w:p>
      <w:pPr>
        <w:pStyle w:val="BodyText"/>
      </w:pPr>
      <w:r>
        <w:t xml:space="preserve">$115,000 (30%)</w:t>
      </w:r>
    </w:p>
    <w:p>
      <w:pPr>
        <w:pStyle w:val="BodyText"/>
      </w:pPr>
      <w:r>
        <w:t xml:space="preserve">Conference sponsorships, policy briefings in Ankara</w:t>
      </w:r>
    </w:p>
    <w:p>
      <w:pPr>
        <w:pStyle w:val="BodyText"/>
      </w:pPr>
      <w:r>
        <w:t xml:space="preserve">Content Development</w:t>
      </w:r>
    </w:p>
    <w:p>
      <w:pPr>
        <w:pStyle w:val="BodyText"/>
      </w:pPr>
      <w:r>
        <w:t xml:space="preserve">$72,500 (19%)</w:t>
      </w:r>
    </w:p>
    <w:p>
      <w:pPr>
        <w:pStyle w:val="BodyText"/>
      </w:pPr>
      <w:r>
        <w:t xml:space="preserve">Turkish-language technical guides for Turkish maritime regulations</w:t>
      </w:r>
    </w:p>
    <w:p>
      <w:pPr>
        <w:pStyle w:val="BodyText"/>
      </w:pPr>
      <w:r>
        <w:t xml:space="preserve">Partnership Development</w:t>
      </w:r>
    </w:p>
    <w:p>
      <w:pPr>
        <w:pStyle w:val="BodyText"/>
      </w:pPr>
      <w:r>
        <w:t xml:space="preserve">$67,500 (18%)</w:t>
      </w:r>
    </w:p>
    <w:p>
      <w:pPr>
        <w:pStyle w:val="BodyText"/>
      </w:pPr>
      <w:r>
        <w:t xml:space="preserve">Ankara-based engineering associations and port authorities</w:t>
      </w:r>
    </w:p>
    <w:p>
      <w:pPr>
        <w:pStyle w:val="BodyText"/>
      </w:pPr>
      <w:r>
        <w:t xml:space="preserve">Team Expansion</w:t>
      </w:r>
    </w:p>
    <w:p>
      <w:pPr>
        <w:pStyle w:val="BodyText"/>
      </w:pPr>
      <w:r>
        <w:t xml:space="preserve">$40,000 (11%)</w:t>
      </w:r>
    </w:p>
    <w:p>
      <w:pPr>
        <w:pStyle w:val="BodyText"/>
      </w:pPr>
      <w:r>
        <w:t xml:space="preserve">Hiring 3 Ankara-based marine engineers with Turkish Navy experience</w:t>
      </w:r>
    </w:p>
    <w:bookmarkEnd w:id="29"/>
    <w:bookmarkStart w:id="30" w:name="performance-metrics-evaluation"/>
    <w:p>
      <w:pPr>
        <w:pStyle w:val="Heading2"/>
      </w:pPr>
      <w:r>
        <w:t xml:space="preserve">Performance Metrics &amp; Evaluation</w:t>
      </w:r>
    </w:p>
    <w:p>
      <w:pPr>
        <w:pStyle w:val="FirstParagraph"/>
      </w:pPr>
      <w:r>
        <w:t xml:space="preserve">We measure success through:</w:t>
      </w:r>
      <w:r>
        <w:t xml:space="preserve"> </w:t>
      </w:r>
      <w:r>
        <w:t xml:space="preserve">•</w:t>
      </w:r>
      <w:r>
        <w:t xml:space="preserve"> </w:t>
      </w:r>
      <w:r>
        <w:rPr>
          <w:iCs/>
          <w:i/>
        </w:rPr>
        <w:t xml:space="preserve">Brand Health:</w:t>
      </w:r>
      <w:r>
        <w:t xml:space="preserve"> </w:t>
      </w:r>
      <w:r>
        <w:t xml:space="preserve">Quarterly surveys tracking "Marine Engineer" recognition among Ankara government stakeholders (target: 45% awareness by Q3 2025)</w:t>
      </w:r>
      <w:r>
        <w:t xml:space="preserve"> </w:t>
      </w:r>
      <w:r>
        <w:t xml:space="preserve">•</w:t>
      </w:r>
      <w:r>
        <w:t xml:space="preserve"> </w:t>
      </w:r>
      <w:r>
        <w:rPr>
          <w:iCs/>
          <w:i/>
        </w:rPr>
        <w:t xml:space="preserve">Client Acquisition:</w:t>
      </w:r>
      <w:r>
        <w:t xml:space="preserve"> </w:t>
      </w:r>
      <w:r>
        <w:t xml:space="preserve">Monthly analysis of lead sources (e.g., Ministry referrals vs. online inquiries)</w:t>
      </w:r>
      <w:r>
        <w:t xml:space="preserve"> </w:t>
      </w:r>
      <w:r>
        <w:t xml:space="preserve">•</w:t>
      </w:r>
      <w:r>
        <w:t xml:space="preserve"> </w:t>
      </w:r>
      <w:r>
        <w:rPr>
          <w:iCs/>
          <w:i/>
        </w:rPr>
        <w:t xml:space="preserve">Solution Impact:</w:t>
      </w:r>
      <w:r>
        <w:t xml:space="preserve"> </w:t>
      </w:r>
      <w:r>
        <w:t xml:space="preserve">Tracking project completion rates under Turkish Maritime Code compliance standards</w:t>
      </w:r>
      <w:r>
        <w:t xml:space="preserve"> </w:t>
      </w:r>
      <w:r>
        <w:t xml:space="preserve">•</w:t>
      </w:r>
      <w:r>
        <w:t xml:space="preserve"> </w:t>
      </w:r>
      <w:r>
        <w:rPr>
          <w:iCs/>
          <w:i/>
        </w:rPr>
        <w:t xml:space="preserve">National Reach:</w:t>
      </w:r>
      <w:r>
        <w:t xml:space="preserve"> </w:t>
      </w:r>
      <w:r>
        <w:t xml:space="preserve">Geographic spread of active projects (target: 80% Turkey coverage by Year 3)</w:t>
      </w:r>
    </w:p>
    <w:bookmarkEnd w:id="30"/>
    <w:bookmarkStart w:id="31" w:name="Xe82d01b811e15e97b6b8e06e3bb7c1d4aa44268"/>
    <w:p>
      <w:pPr>
        <w:pStyle w:val="Heading2"/>
      </w:pPr>
      <w:r>
        <w:t xml:space="preserve">Conclusion: Anchoring Turkey's Maritime Future from Ankara</w:t>
      </w:r>
    </w:p>
    <w:p>
      <w:pPr>
        <w:pStyle w:val="FirstParagraph"/>
      </w:pPr>
      <w:r>
        <w:t xml:space="preserve">This marketing plan positions our Marine Engineer services as the indispensable link between national policy and maritime execution in Turkey. By anchoring operations in Ankara – the nerve center of Turkish maritime strategy – we transform geographic limitation into strategic advantage. Our approach ensures clients gain immediate access to regulatory expertise while benefiting from agile, nationwide service delivery. As Turkey accelerates its $40B maritime infrastructure investments through 2030, our Ankara-based Marine Engineer services will be positioned as the country's most trusted technical partner for every coastal and inland waterway project. This plan delivers measurable growth by making "Marine Engineer" synonymous with Ankara's leadership in Turkey's blue economy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Ankara, Turkey</dc:title>
  <dc:creator/>
  <dc:language>en</dc:language>
  <cp:keywords/>
  <dcterms:created xsi:type="dcterms:W3CDTF">2026-07-22T15:36:44Z</dcterms:created>
  <dcterms:modified xsi:type="dcterms:W3CDTF">2026-07-22T15:36:44Z</dcterms:modified>
</cp:coreProperties>
</file>

<file path=docProps/custom.xml><?xml version="1.0" encoding="utf-8"?>
<Properties xmlns="http://schemas.openxmlformats.org/officeDocument/2006/custom-properties" xmlns:vt="http://schemas.openxmlformats.org/officeDocument/2006/docPropsVTypes"/>
</file>