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8" w:name="X2596a74c1e5b0dad4e17af29adfa1c122092384"/>
    <w:p>
      <w:pPr>
        <w:pStyle w:val="Heading1"/>
      </w:pPr>
      <w:r>
        <w:t xml:space="preserve">Marketing Plan for Marine Engineer Services in Uzbekistan Tashkent</w:t>
      </w:r>
    </w:p>
    <w:p>
      <w:pPr>
        <w:pStyle w:val="FirstParagraph"/>
      </w:pPr>
      <w:r>
        <w:t xml:space="preserve">This comprehensive Marketing Plan outlines the strategic approach to positioning marine engineering services within the unique economic and geographic context of</w:t>
      </w:r>
      <w:r>
        <w:t xml:space="preserve"> </w:t>
      </w:r>
      <w:r>
        <w:rPr>
          <w:bCs/>
          <w:b/>
        </w:rPr>
        <w:t xml:space="preserve">Uzbekistan Tashkent</w:t>
      </w:r>
      <w:r>
        <w:t xml:space="preserve">. While Uzbekistan is a landlocked nation without direct sea access, this plan redefines "marine engineering" as a specialized discipline for</w:t>
      </w:r>
      <w:r>
        <w:t xml:space="preserve"> </w:t>
      </w:r>
      <w:r>
        <w:rPr>
          <w:iCs/>
          <w:i/>
        </w:rPr>
        <w:t xml:space="preserve">inland waterways, riverport infrastructure, industrial maritime logistics, and emerging regional transport corridors</w:t>
      </w:r>
      <w:r>
        <w:t xml:space="preserve">. The focus is squarely on delivering high-value engineering solutions tailored to Tashkent’s growing role as the economic hub of Central Asia.</w:t>
      </w:r>
    </w:p>
    <w:bookmarkStart w:id="20" w:name="Xa085cfe409b43a679b600411995c67043771603"/>
    <w:p>
      <w:pPr>
        <w:pStyle w:val="Heading2"/>
      </w:pPr>
      <w:r>
        <w:t xml:space="preserve">Executive Summary: The Tashkent Opportunity</w:t>
      </w:r>
    </w:p>
    <w:p>
      <w:pPr>
        <w:pStyle w:val="FirstParagraph"/>
      </w:pPr>
      <w:r>
        <w:t xml:space="preserve">Uzbekistan’s strategic vision under the "Strategy for Action 2030" prioritizes transforming its landlocked status into a logistical advantage. Tashkent, as the capital and business epicenter, is central to this mission. Although</w:t>
      </w:r>
      <w:r>
        <w:t xml:space="preserve"> </w:t>
      </w:r>
      <w:r>
        <w:rPr>
          <w:bCs/>
          <w:b/>
        </w:rPr>
        <w:t xml:space="preserve">Marine Engineer</w:t>
      </w:r>
      <w:r>
        <w:t xml:space="preserve"> </w:t>
      </w:r>
      <w:r>
        <w:t xml:space="preserve">services are traditionally associated with coastal regions, our plan adapts this expertise to Uzbekistan’s critical needs: modernizing river ports on the Amu Darya and Syr Darya rivers, upgrading industrial facilities for bulk cargo handling (e.g., grain, minerals), and supporting regional initiatives like the TAPI gas pipeline logistics. This Marketing Plan targets Tashkent-based industries, government agencies (Ministry of Transport, National Company "Uzport"), and international logistics partners operating through Uzbekistan’s transport corridors.</w:t>
      </w:r>
    </w:p>
    <w:bookmarkEnd w:id="20"/>
    <w:bookmarkStart w:id="21" w:name="X65f0fd5a55b47be03c2e6587f34b74c686c3c0d"/>
    <w:p>
      <w:pPr>
        <w:pStyle w:val="Heading2"/>
      </w:pPr>
      <w:r>
        <w:t xml:space="preserve">Market Analysis: Uzbekistan Tashkent Context</w:t>
      </w:r>
    </w:p>
    <w:p>
      <w:pPr>
        <w:pStyle w:val="FirstParagraph"/>
      </w:pPr>
      <w:r>
        <w:t xml:space="preserve">Uzbekistan’s economy relies heavily on agriculture and mining, generating massive cargo flows via its inland waterways. The Amu Darya River serves as a vital transport artery for Central Asia, yet infrastructure lags. Tashkent-based companies like "Uzport" are actively upgrading river terminals (e.g., Nukus Port) to handle increased freight volumes. Key opportunities include:</w:t>
      </w:r>
    </w:p>
    <w:p>
      <w:pPr>
        <w:numPr>
          <w:ilvl w:val="0"/>
          <w:numId w:val="1001"/>
        </w:numPr>
        <w:pStyle w:val="Compact"/>
      </w:pPr>
      <w:r>
        <w:rPr>
          <w:bCs/>
          <w:b/>
        </w:rPr>
        <w:t xml:space="preserve">Port Modernization:</w:t>
      </w:r>
      <w:r>
        <w:t xml:space="preserve"> </w:t>
      </w:r>
      <w:r>
        <w:t xml:space="preserve">Upgrading 12 major river ports across Uzbekistan, directly impacting Tashkent’s logistics networks.</w:t>
      </w:r>
    </w:p>
    <w:p>
      <w:pPr>
        <w:numPr>
          <w:ilvl w:val="0"/>
          <w:numId w:val="1001"/>
        </w:numPr>
        <w:pStyle w:val="Compact"/>
      </w:pPr>
      <w:r>
        <w:rPr>
          <w:bCs/>
          <w:b/>
        </w:rPr>
        <w:t xml:space="preserve">Industrial Logistics:</w:t>
      </w:r>
      <w:r>
        <w:t xml:space="preserve"> </w:t>
      </w:r>
      <w:r>
        <w:t xml:space="preserve">Engineering solutions for factories in Tashkent Industrial Park requiring waterborne cargo access.</w:t>
      </w:r>
    </w:p>
    <w:p>
      <w:pPr>
        <w:numPr>
          <w:ilvl w:val="0"/>
          <w:numId w:val="1001"/>
        </w:numPr>
        <w:pStyle w:val="Compact"/>
      </w:pPr>
      <w:r>
        <w:rPr>
          <w:bCs/>
          <w:b/>
        </w:rPr>
        <w:t xml:space="preserve">Regional Connectivity:</w:t>
      </w:r>
      <w:r>
        <w:t xml:space="preserve"> </w:t>
      </w:r>
      <w:r>
        <w:t xml:space="preserve">Supporting projects like the China-Central Asia-Europe corridor, where river transport complements rail/road networks.</w:t>
      </w:r>
    </w:p>
    <w:bookmarkEnd w:id="21"/>
    <w:bookmarkStart w:id="22" w:name="target-audience-in-tashkent"/>
    <w:p>
      <w:pPr>
        <w:pStyle w:val="Heading2"/>
      </w:pPr>
      <w:r>
        <w:t xml:space="preserve">Target Audience in Tashkent</w:t>
      </w:r>
    </w:p>
    <w:p>
      <w:pPr>
        <w:pStyle w:val="FirstParagraph"/>
      </w:pPr>
      <w:r>
        <w:t xml:space="preserve">This Marketing Plan focuses on three high-value segments in Uzbekistan Tashkent:</w:t>
      </w:r>
    </w:p>
    <w:p>
      <w:pPr>
        <w:numPr>
          <w:ilvl w:val="0"/>
          <w:numId w:val="1002"/>
        </w:numPr>
        <w:pStyle w:val="Compact"/>
      </w:pPr>
      <w:r>
        <w:rPr>
          <w:bCs/>
          <w:b/>
        </w:rPr>
        <w:t xml:space="preserve">Government &amp; Municipal Bodies:</w:t>
      </w:r>
      <w:r>
        <w:t xml:space="preserve"> </w:t>
      </w:r>
      <w:r>
        <w:t xml:space="preserve">Ministry of Transport, Tashkent City Administration (for urban waterway projects).</w:t>
      </w:r>
    </w:p>
    <w:p>
      <w:pPr>
        <w:numPr>
          <w:ilvl w:val="0"/>
          <w:numId w:val="1002"/>
        </w:numPr>
        <w:pStyle w:val="Compact"/>
      </w:pPr>
      <w:r>
        <w:rPr>
          <w:bCs/>
          <w:b/>
        </w:rPr>
        <w:t xml:space="preserve">Logistics &amp; Freight Companies:</w:t>
      </w:r>
      <w:r>
        <w:t xml:space="preserve"> </w:t>
      </w:r>
      <w:r>
        <w:t xml:space="preserve">Major players like "Uztransgaz," "Tashkent Logistics," and international firms operating through Uzbekistan’s transport hubs.</w:t>
      </w:r>
    </w:p>
    <w:p>
      <w:pPr>
        <w:numPr>
          <w:ilvl w:val="0"/>
          <w:numId w:val="1002"/>
        </w:numPr>
        <w:pStyle w:val="Compact"/>
      </w:pPr>
      <w:r>
        <w:rPr>
          <w:bCs/>
          <w:b/>
        </w:rPr>
        <w:t xml:space="preserve">Industrial Manufacturers:</w:t>
      </w:r>
      <w:r>
        <w:t xml:space="preserve"> </w:t>
      </w:r>
      <w:r>
        <w:t xml:space="preserve">Tashkent-based agri-businesses (e.g., cotton, grain exporters) requiring efficient river cargo handling.</w:t>
      </w:r>
    </w:p>
    <w:bookmarkEnd w:id="22"/>
    <w:bookmarkStart w:id="23" w:name="X583c747410c7af4e61f35a5c15c77fa4a7db970"/>
    <w:p>
      <w:pPr>
        <w:pStyle w:val="Heading2"/>
      </w:pPr>
      <w:r>
        <w:t xml:space="preserve">Service Proposition: Marine Engineering Reimagined for Tashkent</w:t>
      </w:r>
    </w:p>
    <w:p>
      <w:pPr>
        <w:pStyle w:val="FirstParagraph"/>
      </w:pPr>
      <w:r>
        <w:t xml:space="preserve">We position "Marine Engineer" expertise as specialized</w:t>
      </w:r>
      <w:r>
        <w:t xml:space="preserve"> </w:t>
      </w:r>
      <w:r>
        <w:rPr>
          <w:bCs/>
          <w:b/>
        </w:rPr>
        <w:t xml:space="preserve">inland waterway and port logistics engineering</w:t>
      </w:r>
      <w:r>
        <w:t xml:space="preserve">, not coastal marine work. Our service suite includes:</w:t>
      </w:r>
    </w:p>
    <w:p>
      <w:pPr>
        <w:numPr>
          <w:ilvl w:val="0"/>
          <w:numId w:val="1003"/>
        </w:numPr>
        <w:pStyle w:val="Compact"/>
      </w:pPr>
      <w:r>
        <w:rPr>
          <w:iCs/>
          <w:i/>
        </w:rPr>
        <w:t xml:space="preserve">Riverport Design &amp; Optimization:</w:t>
      </w:r>
      <w:r>
        <w:t xml:space="preserve"> </w:t>
      </w:r>
      <w:r>
        <w:t xml:space="preserve">Engineering solutions for Tashkent-connected ports like those in Urgench, improving cargo throughput by 30%.</w:t>
      </w:r>
    </w:p>
    <w:p>
      <w:pPr>
        <w:numPr>
          <w:ilvl w:val="0"/>
          <w:numId w:val="1003"/>
        </w:numPr>
        <w:pStyle w:val="Compact"/>
      </w:pPr>
      <w:r>
        <w:rPr>
          <w:iCs/>
          <w:i/>
        </w:rPr>
        <w:t xml:space="preserve">Industrial Waterway Integration:</w:t>
      </w:r>
      <w:r>
        <w:t xml:space="preserve"> </w:t>
      </w:r>
      <w:r>
        <w:t xml:space="preserve">Connecting factory sites to river networks (e.g., Tashkent’s textile zones to Amu Darya).</w:t>
      </w:r>
    </w:p>
    <w:p>
      <w:pPr>
        <w:numPr>
          <w:ilvl w:val="0"/>
          <w:numId w:val="1003"/>
        </w:numPr>
        <w:pStyle w:val="Compact"/>
      </w:pPr>
      <w:r>
        <w:rPr>
          <w:iCs/>
          <w:i/>
        </w:rPr>
        <w:t xml:space="preserve">Sustainability Audits:</w:t>
      </w:r>
      <w:r>
        <w:t xml:space="preserve"> </w:t>
      </w:r>
      <w:r>
        <w:t xml:space="preserve">Reducing environmental impact of inland cargo transport, aligning with Uzbekistan’s Green Economy goals.</w:t>
      </w:r>
    </w:p>
    <w:p>
      <w:pPr>
        <w:numPr>
          <w:ilvl w:val="0"/>
          <w:numId w:val="1003"/>
        </w:numPr>
        <w:pStyle w:val="Compact"/>
      </w:pPr>
      <w:r>
        <w:rPr>
          <w:iCs/>
          <w:i/>
        </w:rPr>
        <w:t xml:space="preserve">Training Programs:</w:t>
      </w:r>
      <w:r>
        <w:t xml:space="preserve"> </w:t>
      </w:r>
      <w:r>
        <w:t xml:space="preserve">Custom workshops for Tashkent engineering teams on river infrastructure management.</w:t>
      </w:r>
    </w:p>
    <w:bookmarkEnd w:id="23"/>
    <w:bookmarkStart w:id="24" w:name="X10dbe4ac64836d0b9f083783a307c6cf3158b4f"/>
    <w:p>
      <w:pPr>
        <w:pStyle w:val="Heading2"/>
      </w:pPr>
      <w:r>
        <w:t xml:space="preserve">Marketing Strategy: Localized for Uzbekistan Tashkent</w:t>
      </w:r>
    </w:p>
    <w:p>
      <w:pPr>
        <w:pStyle w:val="FirstParagraph"/>
      </w:pPr>
      <w:r>
        <w:t xml:space="preserve">To penetrate the Tashkent market, we deploy a hyper-localized strategy:</w:t>
      </w:r>
    </w:p>
    <w:p>
      <w:pPr>
        <w:numPr>
          <w:ilvl w:val="0"/>
          <w:numId w:val="1004"/>
        </w:numPr>
        <w:pStyle w:val="Compact"/>
      </w:pPr>
      <w:r>
        <w:rPr>
          <w:bCs/>
          <w:b/>
        </w:rPr>
        <w:t xml:space="preserve">Strategic Partnerships:</w:t>
      </w:r>
      <w:r>
        <w:t xml:space="preserve"> </w:t>
      </w:r>
      <w:r>
        <w:t xml:space="preserve">Collaborating with Tashkent’s Institute of Transport Engineering and "UzPort" to co-host seminars on "Inland Waterway Logistics for Central Asia."</w:t>
      </w:r>
    </w:p>
    <w:p>
      <w:pPr>
        <w:numPr>
          <w:ilvl w:val="0"/>
          <w:numId w:val="1004"/>
        </w:numPr>
        <w:pStyle w:val="Compact"/>
      </w:pPr>
      <w:r>
        <w:rPr>
          <w:bCs/>
          <w:b/>
        </w:rPr>
        <w:t xml:space="preserve">Digital Outreach:</w:t>
      </w:r>
      <w:r>
        <w:t xml:space="preserve"> </w:t>
      </w:r>
      <w:r>
        <w:t xml:space="preserve">Targeted LinkedIn campaigns in Uzbekistan, using local language (Russian/English) content highlighting case studies from the Amu Darya River projects.</w:t>
      </w:r>
    </w:p>
    <w:p>
      <w:pPr>
        <w:numPr>
          <w:ilvl w:val="0"/>
          <w:numId w:val="1004"/>
        </w:numPr>
        <w:pStyle w:val="Compact"/>
      </w:pPr>
      <w:r>
        <w:rPr>
          <w:bCs/>
          <w:b/>
        </w:rPr>
        <w:t xml:space="preserve">Tashkent Presence:</w:t>
      </w:r>
      <w:r>
        <w:t xml:space="preserve"> </w:t>
      </w:r>
      <w:r>
        <w:t xml:space="preserve">Establishing a dedicated office in Tashkent’s Business Center district to build trust and demonstrate commitment to Uzbekistan’s economy.</w:t>
      </w:r>
    </w:p>
    <w:p>
      <w:pPr>
        <w:numPr>
          <w:ilvl w:val="0"/>
          <w:numId w:val="1004"/>
        </w:numPr>
        <w:pStyle w:val="Compact"/>
      </w:pPr>
      <w:r>
        <w:rPr>
          <w:bCs/>
          <w:b/>
        </w:rPr>
        <w:t xml:space="preserve">Government Engagement:</w:t>
      </w:r>
      <w:r>
        <w:t xml:space="preserve"> </w:t>
      </w:r>
      <w:r>
        <w:t xml:space="preserve">Presenting technical proposals directly to the Ministry of Transport during their annual "Logistics Development Forum" in Tashkent.</w:t>
      </w:r>
    </w:p>
    <w:bookmarkEnd w:id="24"/>
    <w:bookmarkStart w:id="25"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Uzbekistan Tashkent Focus</w:t>
      </w:r>
    </w:p>
    <w:p>
      <w:pPr>
        <w:pStyle w:val="BodyText"/>
      </w:pPr>
      <w:r>
        <w:t xml:space="preserve">Q1 2024</w:t>
      </w:r>
    </w:p>
    <w:p>
      <w:pPr>
        <w:pStyle w:val="BodyText"/>
      </w:pPr>
      <w:r>
        <w:t xml:space="preserve">Market research in Tashkent; Partner MOUs with UzPort, Tashkent Institute of Transport Engineering</w:t>
      </w:r>
    </w:p>
    <w:p>
      <w:pPr>
        <w:pStyle w:val="BodyText"/>
      </w:pPr>
      <w:r>
        <w:t xml:space="preserve">Building credibility through local institutions in Uzbekistan’s capital.</w:t>
      </w:r>
    </w:p>
    <w:p>
      <w:pPr>
        <w:pStyle w:val="BodyText"/>
      </w:pPr>
      <w:r>
        <w:t xml:space="preserve">Q2 2024</w:t>
      </w:r>
    </w:p>
    <w:p>
      <w:pPr>
        <w:pStyle w:val="BodyText"/>
      </w:pPr>
      <w:r>
        <w:t xml:space="preserve">Campaign launch: "Smart Riverports for Uzbekistan" webinar series (Tashkent-focused)</w:t>
      </w:r>
    </w:p>
    <w:p>
      <w:pPr>
        <w:pStyle w:val="BodyText"/>
      </w:pPr>
      <w:r>
        <w:t xml:space="preserve">Positioning marine engineering as a solution for Tashkent’s logistics challenges.</w:t>
      </w:r>
    </w:p>
    <w:p>
      <w:pPr>
        <w:pStyle w:val="BodyText"/>
      </w:pPr>
      <w:r>
        <w:t xml:space="preserve">Q3 2024</w:t>
      </w:r>
    </w:p>
    <w:p>
      <w:pPr>
        <w:pStyle w:val="BodyText"/>
      </w:pPr>
      <w:r>
        <w:t xml:space="preserve">&lt;</w:t>
      </w:r>
    </w:p>
    <w:p>
      <w:pPr>
        <w:pStyle w:val="BodyText"/>
      </w:pPr>
      <w:r>
        <w:t xml:space="preserve">Deploy pilot project at Urgench River Port; Document case study for Tashkent stakeholders</w:t>
      </w:r>
    </w:p>
    <w:p>
      <w:pPr>
        <w:pStyle w:val="BodyText"/>
      </w:pPr>
      <w:r>
        <w:t xml:space="preserve">&lt;</w:t>
      </w:r>
    </w:p>
    <w:p>
      <w:pPr>
        <w:pStyle w:val="BodyText"/>
      </w:pPr>
      <w:r>
        <w:t xml:space="preserve">Demonstrating tangible value to Uzbekistan’s transport network.</w:t>
      </w:r>
    </w:p>
    <w:p>
      <w:pPr>
        <w:pStyle w:val="BodyText"/>
      </w:pPr>
      <w:r>
        <w:t xml:space="preserve">Q4 2024</w:t>
      </w:r>
    </w:p>
    <w:p>
      <w:pPr>
        <w:pStyle w:val="BodyText"/>
      </w:pPr>
      <w:r>
        <w:t xml:space="preserve">Leverage success for national scale-up; Target Ministry of Transport tender in Tashkent</w:t>
      </w:r>
    </w:p>
    <w:p>
      <w:pPr>
        <w:pStyle w:val="BodyText"/>
      </w:pPr>
      <w:r>
        <w:t xml:space="preserve">&lt;</w:t>
      </w:r>
    </w:p>
    <w:p>
      <w:pPr>
        <w:pStyle w:val="BodyText"/>
      </w:pPr>
      <w:r>
        <w:t xml:space="preserve">Aligning with Uzbekistan's national infrastructure goals centered in Tashkent.</w:t>
      </w:r>
    </w:p>
    <w:bookmarkEnd w:id="25"/>
    <w:bookmarkStart w:id="26" w:name="performance-metrics"/>
    <w:p>
      <w:pPr>
        <w:pStyle w:val="Heading2"/>
      </w:pPr>
      <w:r>
        <w:t xml:space="preserve">Performance Metrics</w:t>
      </w:r>
    </w:p>
    <w:p>
      <w:pPr>
        <w:pStyle w:val="FirstParagraph"/>
      </w:pPr>
      <w:r>
        <w:t xml:space="preserve">We measure success through KPIs relevant to the Uzbekistan Tashkent market:</w:t>
      </w:r>
    </w:p>
    <w:p>
      <w:pPr>
        <w:numPr>
          <w:ilvl w:val="0"/>
          <w:numId w:val="1005"/>
        </w:numPr>
        <w:pStyle w:val="Compact"/>
      </w:pPr>
      <w:r>
        <w:rPr>
          <w:bCs/>
          <w:b/>
        </w:rPr>
        <w:t xml:space="preserve">Lead Generation:</w:t>
      </w:r>
      <w:r>
        <w:t xml:space="preserve"> </w:t>
      </w:r>
      <w:r>
        <w:t xml:space="preserve">50 qualified leads from Tashkent-based firms within 6 months.</w:t>
      </w:r>
    </w:p>
    <w:p>
      <w:pPr>
        <w:numPr>
          <w:ilvl w:val="0"/>
          <w:numId w:val="1005"/>
        </w:numPr>
        <w:pStyle w:val="Compact"/>
      </w:pPr>
      <w:r>
        <w:rPr>
          <w:bCs/>
          <w:b/>
        </w:rPr>
        <w:t xml:space="preserve">Partnership Growth:</w:t>
      </w:r>
      <w:r>
        <w:t xml:space="preserve"> </w:t>
      </w:r>
      <w:r>
        <w:t xml:space="preserve">Secure 3 government/industry partnerships in Tashkent by Q3 2024.</w:t>
      </w:r>
    </w:p>
    <w:p>
      <w:pPr>
        <w:numPr>
          <w:ilvl w:val="0"/>
          <w:numId w:val="1005"/>
        </w:numPr>
        <w:pStyle w:val="Compact"/>
      </w:pPr>
      <w:r>
        <w:rPr>
          <w:bCs/>
          <w:b/>
        </w:rPr>
        <w:t xml:space="preserve">Campaign Reach:</w:t>
      </w:r>
      <w:r>
        <w:t xml:space="preserve"> </w:t>
      </w:r>
      <w:r>
        <w:t xml:space="preserve">75% engagement rate on Uzbekistan-specific LinkedIn content targeting Tashkent professionals.</w:t>
      </w:r>
    </w:p>
    <w:p>
      <w:pPr>
        <w:numPr>
          <w:ilvl w:val="0"/>
          <w:numId w:val="1005"/>
        </w:numPr>
        <w:pStyle w:val="Compact"/>
      </w:pPr>
      <w:r>
        <w:rPr>
          <w:bCs/>
          <w:b/>
        </w:rPr>
        <w:t xml:space="preserve">Project Pipeline:</w:t>
      </w:r>
      <w:r>
        <w:t xml:space="preserve"> </w:t>
      </w:r>
      <w:r>
        <w:t xml:space="preserve">$1.2M in confirmed contracts from Tashkent clients by end of Year 1.</w:t>
      </w:r>
    </w:p>
    <w:bookmarkEnd w:id="26"/>
    <w:bookmarkStart w:id="27" w:name="X580d5915f900d8c6d9b2abd35da752e28ab5517"/>
    <w:p>
      <w:pPr>
        <w:pStyle w:val="Heading2"/>
      </w:pPr>
      <w:r>
        <w:t xml:space="preserve">Conclusion: Engineering Uzbekistan’s Future from Tashkent</w:t>
      </w:r>
    </w:p>
    <w:p>
      <w:pPr>
        <w:pStyle w:val="FirstParagraph"/>
      </w:pPr>
      <w:r>
        <w:t xml:space="preserve">This Marketing Plan for Marine Engineer services transcends the literal meaning of "marine" to deliver transformative value within Uzbekistan Tashkent’s economic landscape. By reframing marine engineering expertise as a catalyst for inland waterway development, we address a critical gap in Uzbekistan’s infrastructure strategy while directly serving the needs of Tashkent—a city positioned as Central Asia’s logistics nerve center. Every service, campaign, and partnership is engineered to resonate with Uzbekistan’s vision and Tashkent’s ambition. The time to establish marine engineering as a cornerstone of Uzbekistan's transport evolution is now—starting in the heart of the nation:</w:t>
      </w:r>
      <w:r>
        <w:t xml:space="preserve"> </w:t>
      </w:r>
      <w:r>
        <w:rPr>
          <w:bCs/>
          <w:b/>
        </w:rPr>
        <w:t xml:space="preserve">Uzbekistan Tashkent</w:t>
      </w:r>
      <w:r>
        <w:t xml:space="preserve">.</w:t>
      </w:r>
    </w:p>
    <w:p>
      <w:pPr>
        <w:pStyle w:val="BodyText"/>
      </w:pPr>
      <w:r>
        <w:rPr>
          <w:bCs/>
          <w:b/>
        </w:rPr>
        <w:t xml:space="preserve">Marketing Plan Document | Prepared for Marine Engineer Services in Uzbekistan Tashkent |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Services in Uzbekistan Tashkent</dc:title>
  <dc:creator/>
  <dc:language>en</dc:language>
  <cp:keywords/>
  <dcterms:created xsi:type="dcterms:W3CDTF">2026-07-21T06:00:29Z</dcterms:created>
  <dcterms:modified xsi:type="dcterms:W3CDTF">2026-07-21T06:00:29Z</dcterms:modified>
</cp:coreProperties>
</file>

<file path=docProps/custom.xml><?xml version="1.0" encoding="utf-8"?>
<Properties xmlns="http://schemas.openxmlformats.org/officeDocument/2006/custom-properties" xmlns:vt="http://schemas.openxmlformats.org/officeDocument/2006/docPropsVTypes"/>
</file>