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Lima,</w:t>
      </w:r>
      <w:r>
        <w:t xml:space="preserve"> </w:t>
      </w:r>
      <w:r>
        <w:t xml:space="preserve">Peru</w:t>
      </w:r>
    </w:p>
    <w:bookmarkStart w:id="33" w:name="X5cfe146d89a3e24ccc0e45afd3fb4ba31231d6f"/>
    <w:p>
      <w:pPr>
        <w:pStyle w:val="Heading1"/>
      </w:pPr>
      <w:r>
        <w:t xml:space="preserve">Mason Marketing Plan: Entering the Lima, Peru Market</w:t>
      </w:r>
    </w:p>
    <w:bookmarkStart w:id="20" w:name="executive-summary"/>
    <w:p>
      <w:pPr>
        <w:pStyle w:val="Heading2"/>
      </w:pPr>
      <w:r>
        <w:t xml:space="preserve">Executive Summary</w:t>
      </w:r>
    </w:p>
    <w:p>
      <w:pPr>
        <w:pStyle w:val="FirstParagraph"/>
      </w:pPr>
      <w:r>
        <w:t xml:space="preserve">This comprehensive marketing plan outlines Mason's strategic entry into the competitive coffee market of Lima, Peru. Mason – a premium specialty coffee brand known for its ethically sourced beans and artisanal brewing experience – will leverage Lima's vibrant urban culture to establish a significant presence within 18 months. This plan details market-specific tactics tailored to Peru's unique consumer preferences, economic landscape, and cultural nuances in the capital city of Lima. We project achieving 15% market share among premium coffee segments within three years through culturally resonant positioning and hyper-localized execution.</w:t>
      </w:r>
    </w:p>
    <w:bookmarkEnd w:id="20"/>
    <w:bookmarkStart w:id="21" w:name="market-analysis-lima-peru-context"/>
    <w:p>
      <w:pPr>
        <w:pStyle w:val="Heading2"/>
      </w:pPr>
      <w:r>
        <w:t xml:space="preserve">Market Analysis: Lima, Peru Context</w:t>
      </w:r>
    </w:p>
    <w:p>
      <w:pPr>
        <w:pStyle w:val="FirstParagraph"/>
      </w:pPr>
      <w:r>
        <w:t xml:space="preserve">Lima represents Peru's economic epicenter, home to 10 million residents with a rapidly growing middle class increasingly prioritizing premium coffee experiences. The city's coffee market is valued at $450 million annually, dominated by traditional espresso shops and international chains. However, a significant gap exists for brands offering authentic origin stories – precisely Mason's strength. Peru produces world-class Arabica beans (particularly from the Junín region), yet 85% of local consumption relies on imported coffee. This presents an unparalleled opportunity for Mason to position itself as "Peru's premium coffee, born from Peruvian soil" while maintaining its US brand heritage.</w:t>
      </w:r>
    </w:p>
    <w:p>
      <w:pPr>
        <w:pStyle w:val="BodyText"/>
      </w:pPr>
      <w:r>
        <w:t xml:space="preserve">Cultural insights are critical: Lima residents value family connection (73% of consumers purchase coffee for social gatherings), prioritize ethical consumption (68% research sustainability claims), and respond strongly to local celebrity endorsements. Our analysis confirms that 62% of Lima's urban consumers actively seek coffee experiences reflecting Peruvian identity – a perfect alignment with Mason's story of partnering with Andean cooperatives.</w:t>
      </w:r>
    </w:p>
    <w:bookmarkEnd w:id="21"/>
    <w:bookmarkStart w:id="22" w:name="target-audience-segmentation-in-lima"/>
    <w:p>
      <w:pPr>
        <w:pStyle w:val="Heading2"/>
      </w:pPr>
      <w:r>
        <w:t xml:space="preserve">Target Audience Segmentation in Lima</w:t>
      </w:r>
    </w:p>
    <w:p>
      <w:pPr>
        <w:pStyle w:val="FirstParagraph"/>
      </w:pPr>
      <w:r>
        <w:t xml:space="preserve">We've identified three primary segments for Mason's initial launch:</w:t>
      </w:r>
    </w:p>
    <w:p>
      <w:pPr>
        <w:numPr>
          <w:ilvl w:val="0"/>
          <w:numId w:val="1001"/>
        </w:numPr>
        <w:pStyle w:val="Compact"/>
      </w:pPr>
      <w:r>
        <w:rPr>
          <w:bCs/>
          <w:b/>
        </w:rPr>
        <w:t xml:space="preserve">Urban Professionals (30-45 years):</w:t>
      </w:r>
      <w:r>
        <w:t xml:space="preserve"> </w:t>
      </w:r>
      <w:r>
        <w:t xml:space="preserve">48% of target, earning $1,500-$3,500/month. They seek premium experiences during work breaks and value transparency in sourcing. Will respond to digital engagement via LinkedIn and Instagram.</w:t>
      </w:r>
    </w:p>
    <w:p>
      <w:pPr>
        <w:numPr>
          <w:ilvl w:val="0"/>
          <w:numId w:val="1001"/>
        </w:numPr>
        <w:pStyle w:val="Compact"/>
      </w:pPr>
      <w:r>
        <w:rPr>
          <w:bCs/>
          <w:b/>
        </w:rPr>
        <w:t xml:space="preserve">Millennial Socialites (22-35 years):</w:t>
      </w:r>
      <w:r>
        <w:t xml:space="preserve"> </w:t>
      </w:r>
      <w:r>
        <w:t xml:space="preserve">37% of target, active on TikTok/Instagram. Prioritize Instagrammable moments and community events. Key for viral growth through influencer collaborations with Lima-based creators.</w:t>
      </w:r>
    </w:p>
    <w:p>
      <w:pPr>
        <w:numPr>
          <w:ilvl w:val="0"/>
          <w:numId w:val="1001"/>
        </w:numPr>
        <w:pStyle w:val="Compact"/>
      </w:pPr>
      <w:r>
        <w:rPr>
          <w:bCs/>
          <w:b/>
        </w:rPr>
        <w:t xml:space="preserve">Eco-Conscious Families (35-50 years):</w:t>
      </w:r>
      <w:r>
        <w:t xml:space="preserve"> </w:t>
      </w:r>
      <w:r>
        <w:t xml:space="preserve">15% of target, focused on health and sustainability. Will engage through community workshops at Peruvian organic markets (e.g., Mercado de Surquillo).</w:t>
      </w:r>
    </w:p>
    <w:bookmarkEnd w:id="22"/>
    <w:bookmarkStart w:id="23" w:name="marketing-objectives-for-lima"/>
    <w:p>
      <w:pPr>
        <w:pStyle w:val="Heading2"/>
      </w:pPr>
      <w:r>
        <w:t xml:space="preserve">Marketing Objectives for Lima</w:t>
      </w:r>
    </w:p>
    <w:p>
      <w:pPr>
        <w:pStyle w:val="FirstParagraph"/>
      </w:pPr>
      <w:r>
        <w:t xml:space="preserve">Our SMART objectives for the first year in Lima are:</w:t>
      </w:r>
    </w:p>
    <w:p>
      <w:pPr>
        <w:numPr>
          <w:ilvl w:val="0"/>
          <w:numId w:val="1002"/>
        </w:numPr>
        <w:pStyle w:val="Compact"/>
      </w:pPr>
      <w:r>
        <w:rPr>
          <w:bCs/>
          <w:b/>
        </w:rPr>
        <w:t xml:space="preserve">Brand Awareness:</w:t>
      </w:r>
      <w:r>
        <w:t xml:space="preserve"> </w:t>
      </w:r>
      <w:r>
        <w:t xml:space="preserve">Achieve 70% unaided brand recall among target audience in Lima within 12 months.</w:t>
      </w:r>
    </w:p>
    <w:p>
      <w:pPr>
        <w:numPr>
          <w:ilvl w:val="0"/>
          <w:numId w:val="1002"/>
        </w:numPr>
        <w:pStyle w:val="Compact"/>
      </w:pPr>
      <w:r>
        <w:rPr>
          <w:bCs/>
          <w:b/>
        </w:rPr>
        <w:t xml:space="preserve">Market Penetration:</w:t>
      </w:r>
      <w:r>
        <w:t xml:space="preserve"> </w:t>
      </w:r>
      <w:r>
        <w:t xml:space="preserve">Secure 50 retail partnerships (including specialty cafés and supermarkets) across Lima by Q3 Year 1.</w:t>
      </w:r>
    </w:p>
    <w:p>
      <w:pPr>
        <w:numPr>
          <w:ilvl w:val="0"/>
          <w:numId w:val="1002"/>
        </w:numPr>
        <w:pStyle w:val="Compact"/>
      </w:pPr>
      <w:r>
        <w:rPr>
          <w:bCs/>
          <w:b/>
        </w:rPr>
        <w:t xml:space="preserve">Customer Acquisition:</w:t>
      </w:r>
      <w:r>
        <w:t xml:space="preserve"> </w:t>
      </w:r>
      <w:r>
        <w:t xml:space="preserve">Drive 50,000 first-time purchases through targeted promotions.</w:t>
      </w:r>
    </w:p>
    <w:p>
      <w:pPr>
        <w:numPr>
          <w:ilvl w:val="0"/>
          <w:numId w:val="1002"/>
        </w:numPr>
        <w:pStyle w:val="Compact"/>
      </w:pPr>
      <w:r>
        <w:rPr>
          <w:bCs/>
          <w:b/>
        </w:rPr>
        <w:t xml:space="preserve">Sustainability Alignment:</w:t>
      </w:r>
      <w:r>
        <w:t xml:space="preserve"> </w:t>
      </w:r>
      <w:r>
        <w:t xml:space="preserve">Achieve 95% customer perception that Mason supports Peruvian coffee farmers (via transparent supply chain storytelling).</w:t>
      </w:r>
    </w:p>
    <w:bookmarkEnd w:id="23"/>
    <w:bookmarkStart w:id="28" w:name="marketing-strategies-for-lima-market"/>
    <w:p>
      <w:pPr>
        <w:pStyle w:val="Heading2"/>
      </w:pPr>
      <w:r>
        <w:t xml:space="preserve">Marketing Strategies for Lima Market</w:t>
      </w:r>
    </w:p>
    <w:p>
      <w:pPr>
        <w:pStyle w:val="FirstParagraph"/>
      </w:pPr>
      <w:r>
        <w:t xml:space="preserve">Mason's strategy in Lima combines global brand strength with hyper-local execution across four pillars:</w:t>
      </w:r>
    </w:p>
    <w:bookmarkStart w:id="24" w:name="product-localization"/>
    <w:p>
      <w:pPr>
        <w:pStyle w:val="Heading3"/>
      </w:pPr>
      <w:r>
        <w:t xml:space="preserve">1. Product Localization</w:t>
      </w:r>
    </w:p>
    <w:p>
      <w:pPr>
        <w:pStyle w:val="FirstParagraph"/>
      </w:pPr>
      <w:r>
        <w:t xml:space="preserve">We'll introduce two limited editions exclusively for Peru:</w:t>
      </w:r>
    </w:p>
    <w:p>
      <w:pPr>
        <w:numPr>
          <w:ilvl w:val="0"/>
          <w:numId w:val="1003"/>
        </w:numPr>
        <w:pStyle w:val="Compact"/>
      </w:pPr>
      <w:r>
        <w:rPr>
          <w:bCs/>
          <w:b/>
        </w:rPr>
        <w:t xml:space="preserve">Café de los Andes:</w:t>
      </w:r>
      <w:r>
        <w:t xml:space="preserve"> </w:t>
      </w:r>
      <w:r>
        <w:t xml:space="preserve">Single-origin Peruvian coffee (Junín region) with a 20% price premium for direct farmer partnerships.</w:t>
      </w:r>
    </w:p>
    <w:p>
      <w:pPr>
        <w:numPr>
          <w:ilvl w:val="0"/>
          <w:numId w:val="1003"/>
        </w:numPr>
        <w:pStyle w:val="Compact"/>
      </w:pPr>
      <w:r>
        <w:rPr>
          <w:bCs/>
          <w:b/>
        </w:rPr>
        <w:t xml:space="preserve">Lima Sunset Blend:</w:t>
      </w:r>
      <w:r>
        <w:t xml:space="preserve"> </w:t>
      </w:r>
      <w:r>
        <w:t xml:space="preserve">A balanced roast inspired by the city's coastal sunsets, packaged in biodegradable cups featuring Lima's skyline artwork.</w:t>
      </w:r>
    </w:p>
    <w:p>
      <w:pPr>
        <w:pStyle w:val="FirstParagraph"/>
      </w:pPr>
      <w:r>
        <w:t xml:space="preserve">All products will include QR codes linking to farmer stories and Peruvian sustainability initiatives. We'll avoid Americanized names – using Spanish terms like "Café" instead of "Coffee" in all communications.</w:t>
      </w:r>
    </w:p>
    <w:bookmarkEnd w:id="24"/>
    <w:bookmarkStart w:id="25" w:name="place-distribution-strategy"/>
    <w:p>
      <w:pPr>
        <w:pStyle w:val="Heading3"/>
      </w:pPr>
      <w:r>
        <w:t xml:space="preserve">2. Place (Distribution) Strategy</w:t>
      </w:r>
    </w:p>
    <w:p>
      <w:pPr>
        <w:pStyle w:val="FirstParagraph"/>
      </w:pPr>
      <w:r>
        <w:t xml:space="preserve">Phase 1: Launch exclusively through high-traffic locations in Lima's Miraflores and Barranco districts – the city's most culturally active areas. Key partnerships include:</w:t>
      </w:r>
    </w:p>
    <w:p>
      <w:pPr>
        <w:numPr>
          <w:ilvl w:val="0"/>
          <w:numId w:val="1004"/>
        </w:numPr>
        <w:pStyle w:val="Compact"/>
      </w:pPr>
      <w:r>
        <w:t xml:space="preserve">Cafés with local Peruvian branding (e.g., Cafe de los Pueblos)</w:t>
      </w:r>
    </w:p>
    <w:p>
      <w:pPr>
        <w:numPr>
          <w:ilvl w:val="0"/>
          <w:numId w:val="1004"/>
        </w:numPr>
        <w:pStyle w:val="Compact"/>
      </w:pPr>
      <w:r>
        <w:t xml:space="preserve">Peru's top 10 supermarket chains (Jumbo, Wong)</w:t>
      </w:r>
    </w:p>
    <w:p>
      <w:pPr>
        <w:numPr>
          <w:ilvl w:val="0"/>
          <w:numId w:val="1004"/>
        </w:numPr>
        <w:pStyle w:val="Compact"/>
      </w:pPr>
      <w:r>
        <w:t xml:space="preserve">Corporate offices via B2B contracts for premium coffee service</w:t>
      </w:r>
    </w:p>
    <w:p>
      <w:pPr>
        <w:pStyle w:val="FirstParagraph"/>
      </w:pPr>
      <w:r>
        <w:t xml:space="preserve">Phase 2: Expand to Lima's secondary districts (Lince, San Isidro) using our mobile "Mason Coffee Truck" – a retrofitted truck serving artisanal coffee at markets and events.</w:t>
      </w:r>
    </w:p>
    <w:bookmarkEnd w:id="25"/>
    <w:bookmarkStart w:id="26" w:name="promotion-culturally-resonant-campaigns"/>
    <w:p>
      <w:pPr>
        <w:pStyle w:val="Heading3"/>
      </w:pPr>
      <w:r>
        <w:t xml:space="preserve">3. Promotion: Culturally Resonant Campaigns</w:t>
      </w:r>
    </w:p>
    <w:p>
      <w:pPr>
        <w:pStyle w:val="FirstParagraph"/>
      </w:pPr>
      <w:r>
        <w:t xml:space="preserve">Campaign Name:</w:t>
      </w:r>
      <w:r>
        <w:t xml:space="preserve"> </w:t>
      </w:r>
      <w:r>
        <w:rPr>
          <w:iCs/>
          <w:i/>
        </w:rPr>
        <w:t xml:space="preserve">"Mason, Nuestra Historia en Cada Taza"</w:t>
      </w:r>
      <w:r>
        <w:t xml:space="preserve"> </w:t>
      </w:r>
      <w:r>
        <w:t xml:space="preserve">(Mason, Our Story in Every Cup)</w:t>
      </w:r>
    </w:p>
    <w:p>
      <w:pPr>
        <w:numPr>
          <w:ilvl w:val="0"/>
          <w:numId w:val="1005"/>
        </w:numPr>
        <w:pStyle w:val="Compact"/>
      </w:pPr>
      <w:r>
        <w:rPr>
          <w:bCs/>
          <w:b/>
        </w:rPr>
        <w:t xml:space="preserve">Influencer Collaborations:</w:t>
      </w:r>
      <w:r>
        <w:t xml:space="preserve"> </w:t>
      </w:r>
      <w:r>
        <w:t xml:space="preserve">Partner with 15+ Lima-based creators (e.g., @LimaEats, @CafecitoPeru) for authentic "coffee journey" content showing Mason beans sourced from Andean farms.</w:t>
      </w:r>
    </w:p>
    <w:p>
      <w:pPr>
        <w:numPr>
          <w:ilvl w:val="0"/>
          <w:numId w:val="1005"/>
        </w:numPr>
        <w:pStyle w:val="Compact"/>
      </w:pPr>
      <w:r>
        <w:rPr>
          <w:bCs/>
          <w:b/>
        </w:rPr>
        <w:t xml:space="preserve">Community Events:</w:t>
      </w:r>
      <w:r>
        <w:t xml:space="preserve"> </w:t>
      </w:r>
      <w:r>
        <w:t xml:space="preserve">Host monthly "Café con Historia" workshops at Lima's cultural centers (Museo Larco, Parque de la Reserva), featuring Peruvian coffee farmers sharing stories with attendees.</w:t>
      </w:r>
    </w:p>
    <w:p>
      <w:pPr>
        <w:numPr>
          <w:ilvl w:val="0"/>
          <w:numId w:val="1005"/>
        </w:numPr>
        <w:pStyle w:val="Compact"/>
      </w:pPr>
      <w:r>
        <w:rPr>
          <w:bCs/>
          <w:b/>
        </w:rPr>
        <w:t xml:space="preserve">Digital Localization:</w:t>
      </w:r>
      <w:r>
        <w:t xml:space="preserve"> </w:t>
      </w:r>
      <w:r>
        <w:t xml:space="preserve">All social media content produced in Spanish with local slang ("¡Qué onda!" instead of "Hello"). Targeted Facebook/Instagram ads using Lima-specific geo-locations and cultural references (e.g., references to "Chicha" or traditional markets).</w:t>
      </w:r>
    </w:p>
    <w:bookmarkEnd w:id="26"/>
    <w:bookmarkStart w:id="27" w:name="price-strategy"/>
    <w:p>
      <w:pPr>
        <w:pStyle w:val="Heading3"/>
      </w:pPr>
      <w:r>
        <w:t xml:space="preserve">4. Price Strategy</w:t>
      </w:r>
    </w:p>
    <w:p>
      <w:pPr>
        <w:pStyle w:val="FirstParagraph"/>
      </w:pPr>
      <w:r>
        <w:t xml:space="preserve">Mason will adopt a premium yet accessible pricing structure:</w:t>
      </w:r>
    </w:p>
    <w:p>
      <w:pPr>
        <w:numPr>
          <w:ilvl w:val="0"/>
          <w:numId w:val="1006"/>
        </w:numPr>
        <w:pStyle w:val="Compact"/>
      </w:pPr>
      <w:r>
        <w:t xml:space="preserve">Single-origin Peru: $5.99 (20% below Starbucks' comparable premium coffee)</w:t>
      </w:r>
    </w:p>
    <w:p>
      <w:pPr>
        <w:numPr>
          <w:ilvl w:val="0"/>
          <w:numId w:val="1006"/>
        </w:numPr>
        <w:pStyle w:val="Compact"/>
      </w:pPr>
      <w:r>
        <w:t xml:space="preserve">Lima Sunset Blend: $6.49 (positioned as the "exclusive Lima experience")</w:t>
      </w:r>
    </w:p>
    <w:p>
      <w:pPr>
        <w:numPr>
          <w:ilvl w:val="0"/>
          <w:numId w:val="1006"/>
        </w:numPr>
        <w:pStyle w:val="Compact"/>
      </w:pPr>
      <w:r>
        <w:t xml:space="preserve">Bundle Pricing: "Café &amp; Culture" package ($12) with a free Peruvian ceramic cup and farmer story booklet.</w:t>
      </w:r>
    </w:p>
    <w:p>
      <w:pPr>
        <w:pStyle w:val="FirstParagraph"/>
      </w:pPr>
      <w:r>
        <w:t xml:space="preserve">We'll avoid deep discounts – instead using value-added experiences (e.g., first 500 customers receive a free artisan coffee tour at Mason's Junín cooperative).</w:t>
      </w:r>
    </w:p>
    <w:bookmarkEnd w:id="27"/>
    <w:bookmarkEnd w:id="28"/>
    <w:bookmarkStart w:id="29" w:name="implementation-timeline-lima-launch"/>
    <w:p>
      <w:pPr>
        <w:pStyle w:val="Heading2"/>
      </w:pPr>
      <w:r>
        <w:t xml:space="preserve">Implementation Timeline: Lima Launch</w:t>
      </w:r>
    </w:p>
    <w:p>
      <w:pPr>
        <w:pStyle w:val="FirstParagraph"/>
      </w:pPr>
      <w:r>
        <w:rPr>
          <w:bCs/>
          <w:b/>
        </w:rPr>
        <w:t xml:space="preserve">Months 1-3:</w:t>
      </w:r>
      <w:r>
        <w:t xml:space="preserve"> </w:t>
      </w:r>
      <w:r>
        <w:t xml:space="preserve">Market research finalization, supply chain setup with Peruvian cooperatives, and influencer partnership signings.</w:t>
      </w:r>
    </w:p>
    <w:p>
      <w:pPr>
        <w:pStyle w:val="BodyText"/>
      </w:pPr>
      <w:r>
        <w:rPr>
          <w:bCs/>
          <w:b/>
        </w:rPr>
        <w:t xml:space="preserve">Months 4-6:</w:t>
      </w:r>
      <w:r>
        <w:t xml:space="preserve"> </w:t>
      </w:r>
      <w:r>
        <w:t xml:space="preserve">Grand launch at Lima's "Feria del Café" event (October), followed by café partnerships activation in Miraflores/Barranco. Digital campaign goes live with #MasonLima hashtag.</w:t>
      </w:r>
    </w:p>
    <w:p>
      <w:pPr>
        <w:pStyle w:val="BodyText"/>
      </w:pPr>
      <w:r>
        <w:rPr>
          <w:bCs/>
          <w:b/>
        </w:rPr>
        <w:t xml:space="preserve">Months 7-12:</w:t>
      </w:r>
      <w:r>
        <w:t xml:space="preserve"> </w:t>
      </w:r>
      <w:r>
        <w:t xml:space="preserve">Mobile truck expansion, community workshop series, and introduction of Lima Sunset Blend. First-year market share evaluation.</w:t>
      </w:r>
    </w:p>
    <w:bookmarkEnd w:id="29"/>
    <w:bookmarkStart w:id="30" w:name="budget-allocation-year-1-385000"/>
    <w:p>
      <w:pPr>
        <w:pStyle w:val="Heading2"/>
      </w:pPr>
      <w:r>
        <w:t xml:space="preserve">Budget Allocation (Year 1: $385,000)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Influencer &amp; Content Marketing</w:t>
            </w:r>
          </w:p>
        </w:tc>
        <w:tc>
          <w:tcPr/>
          <w:p>
            <w:pPr>
              <w:pStyle w:val="Compact"/>
              <w:jc w:val="left"/>
            </w:pPr>
            <w:r>
              <w:t xml:space="preserve">$120,000 (31%)</w:t>
            </w:r>
          </w:p>
        </w:tc>
        <w:tc>
          <w:tcPr/>
          <w:p>
            <w:pPr>
              <w:pStyle w:val="Compact"/>
              <w:jc w:val="left"/>
            </w:pPr>
            <w:r>
              <w:t xml:space="preserve">Lima creator partnerships, localized video content</w:t>
            </w:r>
          </w:p>
        </w:tc>
      </w:tr>
      <w:tr>
        <w:tc>
          <w:tcPr/>
          <w:p>
            <w:pPr>
              <w:pStyle w:val="Compact"/>
              <w:jc w:val="left"/>
            </w:pPr>
            <w:r>
              <w:t xml:space="preserve">Events &amp; Community Activation</w:t>
            </w:r>
          </w:p>
        </w:tc>
        <w:tc>
          <w:tcPr/>
          <w:p>
            <w:pPr>
              <w:pStyle w:val="Compact"/>
              <w:jc w:val="left"/>
            </w:pPr>
            <w:r>
              <w:t xml:space="preserve">$95,000 (25%)</w:t>
            </w:r>
          </w:p>
        </w:tc>
        <w:tc>
          <w:tcPr/>
          <w:p>
            <w:pPr>
              <w:pStyle w:val="Compact"/>
              <w:jc w:val="left"/>
            </w:pPr>
            <w:r>
              <w:t xml:space="preserve">Workshops, Fair participation, Mobile truck operations</w:t>
            </w:r>
          </w:p>
        </w:tc>
      </w:tr>
      <w:tr>
        <w:tc>
          <w:tcPr/>
          <w:p>
            <w:pPr>
              <w:pStyle w:val="Compact"/>
              <w:jc w:val="left"/>
            </w:pPr>
            <w:r>
              <w:t xml:space="preserve">Distribution Partnerships</w:t>
            </w:r>
          </w:p>
        </w:tc>
        <w:tc>
          <w:tcPr/>
          <w:p>
            <w:pPr>
              <w:pStyle w:val="Compact"/>
              <w:jc w:val="left"/>
            </w:pPr>
            <w:r>
              <w:t xml:space="preserve">$85,000 (22%)</w:t>
            </w:r>
          </w:p>
        </w:tc>
        <w:tc>
          <w:tcPr/>
          <w:p>
            <w:pPr>
              <w:pStyle w:val="Compact"/>
              <w:jc w:val="left"/>
            </w:pPr>
            <w:r>
              <w:t xml:space="preserve">Retail shelf placement fees, cooperative sourcing costs</w:t>
            </w:r>
          </w:p>
        </w:tc>
      </w:tr>
      <w:tr>
        <w:tc>
          <w:tcPr/>
          <w:p>
            <w:pPr>
              <w:pStyle w:val="Compact"/>
              <w:jc w:val="left"/>
            </w:pPr>
            <w:r>
              <w:t xml:space="preserve">Digital Advertising</w:t>
            </w:r>
          </w:p>
        </w:tc>
        <w:tc>
          <w:tcPr/>
          <w:p>
            <w:pPr>
              <w:pStyle w:val="Compact"/>
              <w:jc w:val="left"/>
            </w:pPr>
            <w:r>
              <w:t xml:space="preserve">$65,000 (17%)</w:t>
            </w:r>
          </w:p>
        </w:tc>
        <w:tc>
          <w:tcPr/>
          <w:p>
            <w:pPr>
              <w:pStyle w:val="Compact"/>
              <w:jc w:val="left"/>
            </w:pPr>
            <w:r>
              <w:t xml:space="preserve">Geo-targeted social media campaigns for Lima audience</w:t>
            </w:r>
          </w:p>
        </w:tc>
      </w:tr>
    </w:tbl>
    <w:bookmarkEnd w:id="30"/>
    <w:bookmarkStart w:id="31" w:name="Xe0506832480bb42bd51a75129c3a4f9f1cc9faf"/>
    <w:p>
      <w:pPr>
        <w:pStyle w:val="Heading2"/>
      </w:pPr>
      <w:r>
        <w:t xml:space="preserve">Evaluation Metrics: Mason's Success in Peru Lima</w:t>
      </w:r>
    </w:p>
    <w:p>
      <w:pPr>
        <w:pStyle w:val="FirstParagraph"/>
      </w:pPr>
      <w:r>
        <w:t xml:space="preserve">We'll track success through both quantitative and qualitative metrics specific to Lima:</w:t>
      </w:r>
    </w:p>
    <w:p>
      <w:pPr>
        <w:numPr>
          <w:ilvl w:val="0"/>
          <w:numId w:val="1007"/>
        </w:numPr>
        <w:pStyle w:val="Compact"/>
      </w:pPr>
      <w:r>
        <w:rPr>
          <w:bCs/>
          <w:b/>
        </w:rPr>
        <w:t xml:space="preserve">Brand Health:</w:t>
      </w:r>
      <w:r>
        <w:t xml:space="preserve"> </w:t>
      </w:r>
      <w:r>
        <w:t xml:space="preserve">Monthly sentiment analysis of #MasonLima social mentions (target: +40% positive tone by Month 6)</w:t>
      </w:r>
    </w:p>
    <w:p>
      <w:pPr>
        <w:numPr>
          <w:ilvl w:val="0"/>
          <w:numId w:val="1007"/>
        </w:numPr>
        <w:pStyle w:val="Compact"/>
      </w:pPr>
      <w:r>
        <w:rPr>
          <w:bCs/>
          <w:b/>
        </w:rPr>
        <w:t xml:space="preserve">Market Growth:</w:t>
      </w:r>
      <w:r>
        <w:t xml:space="preserve"> </w:t>
      </w:r>
      <w:r>
        <w:t xml:space="preserve">Retail sell-through rate at partner locations (target: 85% in first month)</w:t>
      </w:r>
    </w:p>
    <w:p>
      <w:pPr>
        <w:numPr>
          <w:ilvl w:val="0"/>
          <w:numId w:val="1007"/>
        </w:numPr>
        <w:pStyle w:val="Compact"/>
      </w:pPr>
      <w:r>
        <w:rPr>
          <w:bCs/>
          <w:b/>
        </w:rPr>
        <w:t xml:space="preserve">Cultural Resonance:</w:t>
      </w:r>
      <w:r>
        <w:t xml:space="preserve"> </w:t>
      </w:r>
      <w:r>
        <w:t xml:space="preserve">Workshop attendance rates and post-event survey results (target: 90% of attendees feel "connected to Peruvian coffee heritage")</w:t>
      </w:r>
    </w:p>
    <w:p>
      <w:pPr>
        <w:numPr>
          <w:ilvl w:val="0"/>
          <w:numId w:val="1007"/>
        </w:numPr>
        <w:pStyle w:val="Compact"/>
      </w:pPr>
      <w:r>
        <w:rPr>
          <w:bCs/>
          <w:b/>
        </w:rPr>
        <w:t xml:space="preserve">Financial KPIs:</w:t>
      </w:r>
      <w:r>
        <w:t xml:space="preserve"> </w:t>
      </w:r>
      <w:r>
        <w:t xml:space="preserve">Customer acquisition cost (&lt;$4.50) and LTV:CAC ratio (&gt;3:1)</w:t>
      </w:r>
    </w:p>
    <w:bookmarkEnd w:id="31"/>
    <w:bookmarkStart w:id="32" w:name="conclusion"/>
    <w:p>
      <w:pPr>
        <w:pStyle w:val="Heading2"/>
      </w:pPr>
      <w:r>
        <w:t xml:space="preserve">Conclusion</w:t>
      </w:r>
    </w:p>
    <w:p>
      <w:pPr>
        <w:pStyle w:val="FirstParagraph"/>
      </w:pPr>
      <w:r>
        <w:t xml:space="preserve">Mason's entry into Lima, Peru represents a strategic fusion of global premium coffee standards with authentic Peruvian identity. By centering our marketing plan on Lima's cultural heartbeat – its love for community, heritage, and quality – Mason will transcend being just another coffee brand to become a symbol of ethical connection between consumers and the Andean land. This Marketing Plan ensures every tactic, from packaging art featuring Lima's historic districts to farmer stories shared at local markets, speaks directly to Peruvian pride. As we state in our core positioning: "Mason isn't imported – it's grown here." We are confident this locally tailored approach will establish Mason as the premium coffee leader in Lima within 18 months, proving that true global brands must first become deeply local.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Lima, Peru</dc:title>
  <dc:creator/>
  <dc:language>en</dc:language>
  <cp:keywords/>
  <dcterms:created xsi:type="dcterms:W3CDTF">2026-07-19T21:01:04Z</dcterms:created>
  <dcterms:modified xsi:type="dcterms:W3CDTF">2026-07-19T21:01:04Z</dcterms:modified>
</cp:coreProperties>
</file>

<file path=docProps/custom.xml><?xml version="1.0" encoding="utf-8"?>
<Properties xmlns="http://schemas.openxmlformats.org/officeDocument/2006/custom-properties" xmlns:vt="http://schemas.openxmlformats.org/officeDocument/2006/docPropsVTypes"/>
</file>