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34" w:name="Xaec09627d87ac3459b544cd102532a9e210124d"/>
    <w:p>
      <w:pPr>
        <w:pStyle w:val="Heading1"/>
      </w:pPr>
      <w:r>
        <w:t xml:space="preserve">Strategic Marketing Plan for "The Mathematician" in Belgium Brussels</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"The Mathematician," a premium mathematical consultancy service, within the vibrant business ecosystem of Belgium Brussels. As a specialized firm offering advanced data analytics, predictive modeling, and quantitative solutions for enterprises across sectors including finance, logistics, and public administration in Brussels, our mission is to establish "The Mathematician" as the premier partner for data-driven decision-making in the Belgian capital. This plan details target market penetration strategies specifically tailored to Brussels' unique economic landscape within Belgium's federal structure.</w:t>
      </w:r>
    </w:p>
    <w:bookmarkEnd w:id="20"/>
    <w:bookmarkStart w:id="21" w:name="market-analysis-belgium-brussels-context"/>
    <w:p>
      <w:pPr>
        <w:pStyle w:val="Heading2"/>
      </w:pPr>
      <w:r>
        <w:t xml:space="preserve">Market Analysis: Belgium Brussels Context</w:t>
      </w:r>
    </w:p>
    <w:p>
      <w:pPr>
        <w:pStyle w:val="FirstParagraph"/>
      </w:pPr>
      <w:r>
        <w:t xml:space="preserve">Belgium Brussels serves as a pivotal hub for European institutions (European Commission, Council of the EU), multinational corporations, and innovative startups. The region boasts a highly educated workforce with strong mathematical literacy across sectors. However, a critical gap exists in specialized quantitative expertise tailored to Brussels' unique challenges: multilingual data integration, EU regulatory compliance analytics, and cross-border business intelligence. According to recent Eurostat reports (2023), 68% of Brussels businesses cite insufficient analytical capabilities as a top operational barrier.</w:t>
      </w:r>
    </w:p>
    <w:p>
      <w:pPr>
        <w:pStyle w:val="BodyText"/>
      </w:pPr>
      <w:r>
        <w:t xml:space="preserve">Crucially, "The Mathematician" differentiates itself by offering solutions designed specifically for the Belgian federal context—navigating the complexities of bilingual (Dutch/French) reporting, VAT regulations across EU borders, and leveraging Brussels' position as a diplomatic center. Our service bridges the gap between raw data and actionable strategy within Belgium's legal framework.</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Mid-to-large enterprises in Brussels (e.g., financial institutions like KBC Group, logistics firms like DHL Express Europe, EU contractors) requiring predictive analytics for market expansion within Belgium and EU markets.</w:t>
      </w:r>
    </w:p>
    <w:p>
      <w:pPr>
        <w:numPr>
          <w:ilvl w:val="0"/>
          <w:numId w:val="1001"/>
        </w:numPr>
        <w:pStyle w:val="Compact"/>
      </w:pPr>
      <w:r>
        <w:rPr>
          <w:bCs/>
          <w:b/>
        </w:rPr>
        <w:t xml:space="preserve">Secondary:</w:t>
      </w:r>
      <w:r>
        <w:t xml:space="preserve"> </w:t>
      </w:r>
      <w:r>
        <w:t xml:space="preserve">Public sector entities (Brussels-Capital Region government, regional transport authorities) seeking data-driven policy optimization for urban planning and public service delivery.</w:t>
      </w:r>
    </w:p>
    <w:p>
      <w:pPr>
        <w:numPr>
          <w:ilvl w:val="0"/>
          <w:numId w:val="1001"/>
        </w:numPr>
        <w:pStyle w:val="Compact"/>
      </w:pPr>
      <w:r>
        <w:rPr>
          <w:bCs/>
          <w:b/>
        </w:rPr>
        <w:t xml:space="preserve">Tertiary:</w:t>
      </w:r>
      <w:r>
        <w:t xml:space="preserve"> </w:t>
      </w:r>
      <w:r>
        <w:t xml:space="preserve">International startups establishing European HQs in Brussels needing localized market-entry analytics without full-scale local teams.</w:t>
      </w:r>
    </w:p>
    <w:p>
      <w:pPr>
        <w:pStyle w:val="FirstParagraph"/>
      </w:pPr>
      <w:r>
        <w:t xml:space="preserve">Our core audience values precision, regulatory alignment, and solutions that respect Belgium's linguistic duality. They prioritize partners who understand the nuances of conducting business from Brussels—where 42% of the population is foreign-born and multilingual communication is essential.</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35% brand recognition among target enterprises in Brussels within 18 months (measured via market surveys).</w:t>
      </w:r>
    </w:p>
    <w:bookmarkEnd w:id="23"/>
    <w:bookmarkStart w:id="24" w:name="strategic-positioning-core-messaging"/>
    <w:p>
      <w:pPr>
        <w:pStyle w:val="Heading2"/>
      </w:pPr>
      <w:r>
        <w:t xml:space="preserve">Strategic Positioning &amp; Core Messaging</w:t>
      </w:r>
    </w:p>
    <w:p>
      <w:pPr>
        <w:pStyle w:val="FirstParagraph"/>
      </w:pPr>
      <w:r>
        <w:t xml:space="preserve">"The Mathematician" positions itself as Brussels' exclusive quantitative partner—where mathematical rigor meets Belgian business context. Our tagline: "Precision Analytics, Uncompromised for Belgium." This emphasizes:</w:t>
      </w:r>
    </w:p>
    <w:p>
      <w:pPr>
        <w:numPr>
          <w:ilvl w:val="0"/>
          <w:numId w:val="1003"/>
        </w:numPr>
        <w:pStyle w:val="Compact"/>
      </w:pPr>
      <w:r>
        <w:rPr>
          <w:bCs/>
          <w:b/>
        </w:rPr>
        <w:t xml:space="preserve">Local Expertise:</w:t>
      </w:r>
      <w:r>
        <w:t xml:space="preserve"> </w:t>
      </w:r>
      <w:r>
        <w:t xml:space="preserve">Solutions built for Brussels' regulatory ecosystem (e.g., GDPR-compliant data handling specific to Belgian law).</w:t>
      </w:r>
    </w:p>
    <w:p>
      <w:pPr>
        <w:numPr>
          <w:ilvl w:val="0"/>
          <w:numId w:val="1003"/>
        </w:numPr>
        <w:pStyle w:val="Compact"/>
      </w:pPr>
      <w:r>
        <w:rPr>
          <w:bCs/>
          <w:b/>
        </w:rPr>
        <w:t xml:space="preserve">Linguistic Mastery:</w:t>
      </w:r>
      <w:r>
        <w:t xml:space="preserve"> </w:t>
      </w:r>
      <w:r>
        <w:t xml:space="preserve">Delivering reports and insights in both Dutch and French without translation delays.</w:t>
      </w:r>
    </w:p>
    <w:p>
      <w:pPr>
        <w:numPr>
          <w:ilvl w:val="0"/>
          <w:numId w:val="1003"/>
        </w:numPr>
        <w:pStyle w:val="Compact"/>
      </w:pPr>
      <w:r>
        <w:rPr>
          <w:bCs/>
          <w:b/>
        </w:rPr>
        <w:t xml:space="preserve">Euro-Centric Strategy:</w:t>
      </w:r>
      <w:r>
        <w:t xml:space="preserve"> </w:t>
      </w:r>
      <w:r>
        <w:t xml:space="preserve">Leveraging Brussels' role as Europe's decision hub for cross-border analytical solutions.</w:t>
      </w:r>
    </w:p>
    <w:bookmarkEnd w:id="24"/>
    <w:bookmarkStart w:id="29" w:name="ps-marketing-strategy"/>
    <w:p>
      <w:pPr>
        <w:pStyle w:val="Heading2"/>
      </w:pPr>
      <w:r>
        <w:t xml:space="preserve">4Ps Marketing Strategy</w:t>
      </w:r>
    </w:p>
    <w:bookmarkStart w:id="25" w:name="product"/>
    <w:p>
      <w:pPr>
        <w:pStyle w:val="Heading3"/>
      </w:pPr>
      <w:r>
        <w:t xml:space="preserve">Product</w:t>
      </w:r>
    </w:p>
    <w:p>
      <w:pPr>
        <w:pStyle w:val="FirstParagraph"/>
      </w:pPr>
      <w:r>
        <w:t xml:space="preserve">We offer three core services tailored to Brussels' market:</w:t>
      </w:r>
    </w:p>
    <w:p>
      <w:pPr>
        <w:numPr>
          <w:ilvl w:val="0"/>
          <w:numId w:val="1004"/>
        </w:numPr>
        <w:pStyle w:val="Compact"/>
      </w:pPr>
      <w:r>
        <w:rPr>
          <w:bCs/>
          <w:b/>
        </w:rPr>
        <w:t xml:space="preserve">Euro-Compliance Analytics:</w:t>
      </w:r>
      <w:r>
        <w:t xml:space="preserve"> </w:t>
      </w:r>
      <w:r>
        <w:t xml:space="preserve">Predictive models for VAT optimization, EU trade regulation impact (e.g., new AI regulations), and multilingual customer data segmentation.</w:t>
      </w:r>
    </w:p>
    <w:p>
      <w:pPr>
        <w:numPr>
          <w:ilvl w:val="0"/>
          <w:numId w:val="1004"/>
        </w:numPr>
        <w:pStyle w:val="Compact"/>
      </w:pPr>
      <w:r>
        <w:rPr>
          <w:bCs/>
          <w:b/>
        </w:rPr>
        <w:t xml:space="preserve">Urban Intelligence Suite:</w:t>
      </w:r>
      <w:r>
        <w:t xml:space="preserve"> </w:t>
      </w:r>
      <w:r>
        <w:t xml:space="preserve">For public sector clients—traffic flow modeling for Brussels metro, waste management analytics leveraging real-time sensor data across the capital.</w:t>
      </w:r>
    </w:p>
    <w:p>
      <w:pPr>
        <w:numPr>
          <w:ilvl w:val="0"/>
          <w:numId w:val="1004"/>
        </w:numPr>
        <w:pStyle w:val="Compact"/>
      </w:pPr>
      <w:r>
        <w:rPr>
          <w:bCs/>
          <w:b/>
        </w:rPr>
        <w:t xml:space="preserve">Startup Entry Blueprint:</w:t>
      </w:r>
      <w:r>
        <w:t xml:space="preserve"> </w:t>
      </w:r>
      <w:r>
        <w:t xml:space="preserve">Data-driven market-entry packages for new EU HQs in Brussels, including competitor analysis across Belgian/Dutch markets.</w:t>
      </w:r>
    </w:p>
    <w:p>
      <w:pPr>
        <w:pStyle w:val="FirstParagraph"/>
      </w:pPr>
      <w:r>
        <w:t xml:space="preserve">All services include mandatory multilingual (NL/FR) executive briefings delivered by our local Brussels team.</w:t>
      </w:r>
    </w:p>
    <w:bookmarkEnd w:id="25"/>
    <w:bookmarkStart w:id="26" w:name="pricing"/>
    <w:p>
      <w:pPr>
        <w:pStyle w:val="Heading3"/>
      </w:pPr>
      <w:r>
        <w:t xml:space="preserve">Pricing</w:t>
      </w:r>
    </w:p>
    <w:p>
      <w:pPr>
        <w:pStyle w:val="FirstParagraph"/>
      </w:pPr>
      <w:r>
        <w:t xml:space="preserve">Value-based pricing structured for Belgium's B2B landscape:</w:t>
      </w:r>
    </w:p>
    <w:p>
      <w:pPr>
        <w:numPr>
          <w:ilvl w:val="0"/>
          <w:numId w:val="1005"/>
        </w:numPr>
        <w:pStyle w:val="Compact"/>
      </w:pPr>
      <w:r>
        <w:rPr>
          <w:bCs/>
          <w:b/>
        </w:rPr>
        <w:t xml:space="preserve">Enterprise Tier:</w:t>
      </w:r>
      <w:r>
        <w:t xml:space="preserve"> </w:t>
      </w:r>
      <w:r>
        <w:t xml:space="preserve">€12,000–€25,000/month (custom analytics projects with dedicated Brussels-based mathematician).</w:t>
      </w:r>
    </w:p>
    <w:p>
      <w:pPr>
        <w:numPr>
          <w:ilvl w:val="0"/>
          <w:numId w:val="1005"/>
        </w:numPr>
        <w:pStyle w:val="Compact"/>
      </w:pPr>
      <w:r>
        <w:rPr>
          <w:bCs/>
          <w:b/>
        </w:rPr>
        <w:t xml:space="preserve">Public Sector Tier:</w:t>
      </w:r>
      <w:r>
        <w:t xml:space="preserve"> </w:t>
      </w:r>
      <w:r>
        <w:t xml:space="preserve">€9,500–€18,500/month (slightly discounted for regional government contracts under Belgium's public procurement rules).</w:t>
      </w:r>
    </w:p>
    <w:p>
      <w:pPr>
        <w:numPr>
          <w:ilvl w:val="0"/>
          <w:numId w:val="1005"/>
        </w:numPr>
        <w:pStyle w:val="Compact"/>
      </w:pPr>
      <w:r>
        <w:rPr>
          <w:bCs/>
          <w:b/>
        </w:rPr>
        <w:t xml:space="preserve">Startup Accelerator Package:</w:t>
      </w:r>
      <w:r>
        <w:t xml:space="preserve"> </w:t>
      </w:r>
      <w:r>
        <w:t xml:space="preserve">€4,800/month (fixed-scope entry analytics with 3 months of post-launch support).</w:t>
      </w:r>
    </w:p>
    <w:bookmarkEnd w:id="26"/>
    <w:bookmarkStart w:id="27" w:name="place"/>
    <w:p>
      <w:pPr>
        <w:pStyle w:val="Heading3"/>
      </w:pPr>
      <w:r>
        <w:t xml:space="preserve">Place</w:t>
      </w:r>
    </w:p>
    <w:p>
      <w:pPr>
        <w:pStyle w:val="FirstParagraph"/>
      </w:pPr>
      <w:r>
        <w:t xml:space="preserve">We operate exclusively from a central Brussels office (near EU Commission buildings) to signal local commitment. Distribution channels include:</w:t>
      </w:r>
    </w:p>
    <w:p>
      <w:pPr>
        <w:numPr>
          <w:ilvl w:val="0"/>
          <w:numId w:val="1006"/>
        </w:numPr>
        <w:pStyle w:val="Compact"/>
      </w:pPr>
      <w:r>
        <w:rPr>
          <w:bCs/>
          <w:b/>
        </w:rPr>
        <w:t xml:space="preserve">Direct Sales:</w:t>
      </w:r>
      <w:r>
        <w:t xml:space="preserve"> </w:t>
      </w:r>
      <w:r>
        <w:t xml:space="preserve">Targeting C-suite at major Brussels offices of multinational firms.</w:t>
      </w:r>
    </w:p>
    <w:p>
      <w:pPr>
        <w:numPr>
          <w:ilvl w:val="0"/>
          <w:numId w:val="1006"/>
        </w:numPr>
        <w:pStyle w:val="Compact"/>
      </w:pPr>
      <w:r>
        <w:rPr>
          <w:bCs/>
          <w:b/>
        </w:rPr>
        <w:t xml:space="preserve">Strategic Partnerships:</w:t>
      </w:r>
      <w:r>
        <w:t xml:space="preserve"> </w:t>
      </w:r>
      <w:r>
        <w:t xml:space="preserve">Collaborating with Belgian business associations (e.g., FEB, Bruxelles-Entreprises) for co-branded workshops.</w:t>
      </w:r>
    </w:p>
    <w:p>
      <w:pPr>
        <w:numPr>
          <w:ilvl w:val="0"/>
          <w:numId w:val="1006"/>
        </w:numPr>
        <w:pStyle w:val="Compact"/>
      </w:pPr>
      <w:r>
        <w:rPr>
          <w:bCs/>
          <w:b/>
        </w:rPr>
        <w:t xml:space="preserve">Digital Presence:</w:t>
      </w:r>
      <w:r>
        <w:t xml:space="preserve"> </w:t>
      </w:r>
      <w:r>
        <w:t xml:space="preserve">Geo-targeted LinkedIn campaigns focused on "Brussels" and "Belgium" locations; SEO optimized for Belgian search terms like "analyse quantitative Bruxelles".</w:t>
      </w:r>
    </w:p>
    <w:bookmarkEnd w:id="27"/>
    <w:bookmarkStart w:id="28" w:name="promotion"/>
    <w:p>
      <w:pPr>
        <w:pStyle w:val="Heading3"/>
      </w:pPr>
      <w:r>
        <w:t xml:space="preserve">Promotion</w:t>
      </w:r>
    </w:p>
    <w:p>
      <w:pPr>
        <w:pStyle w:val="FirstParagraph"/>
      </w:pPr>
      <w:r>
        <w:t xml:space="preserve">Localized, high-trust promotion in Belgium Brussels:</w:t>
      </w:r>
    </w:p>
    <w:p>
      <w:pPr>
        <w:numPr>
          <w:ilvl w:val="0"/>
          <w:numId w:val="1007"/>
        </w:numPr>
        <w:pStyle w:val="Compact"/>
      </w:pPr>
      <w:r>
        <w:rPr>
          <w:bCs/>
          <w:b/>
        </w:rPr>
        <w:t xml:space="preserve">EU-Adjacent Events:</w:t>
      </w:r>
      <w:r>
        <w:t xml:space="preserve"> </w:t>
      </w:r>
      <w:r>
        <w:t xml:space="preserve">Sponsoring sessions at European Data Protection Board meetings and Bruxelles Digital events.</w:t>
      </w:r>
    </w:p>
    <w:p>
      <w:pPr>
        <w:numPr>
          <w:ilvl w:val="0"/>
          <w:numId w:val="1007"/>
        </w:numPr>
        <w:pStyle w:val="Compact"/>
      </w:pPr>
      <w:r>
        <w:rPr>
          <w:bCs/>
          <w:b/>
        </w:rPr>
        <w:t xml:space="preserve">Credibility Building:</w:t>
      </w:r>
      <w:r>
        <w:t xml:space="preserve"> </w:t>
      </w:r>
      <w:r>
        <w:t xml:space="preserve">Publishing whitepapers on "Mathematical Challenges in Belgian Cross-Border Trade" via Brussels government channels.</w:t>
      </w:r>
    </w:p>
    <w:p>
      <w:pPr>
        <w:numPr>
          <w:ilvl w:val="0"/>
          <w:numId w:val="1007"/>
        </w:numPr>
        <w:pStyle w:val="Compact"/>
      </w:pPr>
      <w:r>
        <w:rPr>
          <w:bCs/>
          <w:b/>
        </w:rPr>
        <w:t xml:space="preserve">Linguistic Marketing:</w:t>
      </w:r>
      <w:r>
        <w:t xml:space="preserve"> </w:t>
      </w:r>
      <w:r>
        <w:t xml:space="preserve">All materials available in Dutch/French; social media campaigns using local slang (e.g., "Bruxellois" references) to resonate culturally.</w:t>
      </w:r>
    </w:p>
    <w:p>
      <w:pPr>
        <w:numPr>
          <w:ilvl w:val="0"/>
          <w:numId w:val="1007"/>
        </w:numPr>
        <w:pStyle w:val="Compact"/>
      </w:pPr>
      <w:r>
        <w:rPr>
          <w:bCs/>
          <w:b/>
        </w:rPr>
        <w:t xml:space="preserve">Referral Program:</w:t>
      </w:r>
      <w:r>
        <w:t xml:space="preserve"> </w:t>
      </w:r>
      <w:r>
        <w:t xml:space="preserve">Incentivizing current clients for referrals within Belgium's tight-knit business community (e.g., €1,000 gift card for successful leads).</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in Brussels; secure 3 anchor clients via FEB partnerships; launch Dutch/French website.</w:t>
      </w:r>
    </w:p>
    <w:p>
      <w:pPr>
        <w:pStyle w:val="BodyText"/>
      </w:pPr>
      <w:r>
        <w:t xml:space="preserve">Q2–Q3 2024</w:t>
      </w:r>
    </w:p>
    <w:p>
      <w:pPr>
        <w:pStyle w:val="BodyText"/>
      </w:pPr>
      <w:r>
        <w:t xml:space="preserve">Host "Mathematics for Brussels Business" workshops at Innovation Square; publish first whitepaper with Bruxelles-Entreprises.</w:t>
      </w:r>
    </w:p>
    <w:p>
      <w:pPr>
        <w:pStyle w:val="BodyText"/>
      </w:pPr>
      <w:r>
        <w:t xml:space="preserve">Q4 2024</w:t>
      </w:r>
    </w:p>
    <w:bookmarkEnd w:id="30"/>
    <w:bookmarkStart w:id="31" w:name="budget-allocation-year-1"/>
    <w:p>
      <w:pPr>
        <w:pStyle w:val="Heading2"/>
      </w:pPr>
      <w:r>
        <w:t xml:space="preserve">Budget Allocation (Year 1)</w:t>
      </w:r>
    </w:p>
    <w:p>
      <w:pPr>
        <w:numPr>
          <w:ilvl w:val="0"/>
          <w:numId w:val="1008"/>
        </w:numPr>
        <w:pStyle w:val="Compact"/>
      </w:pPr>
      <w:r>
        <w:t xml:space="preserve">Marketing &amp; Events: 35% (Focus: Brussels-specific events, multilingual materials)</w:t>
      </w:r>
    </w:p>
    <w:p>
      <w:pPr>
        <w:numPr>
          <w:ilvl w:val="0"/>
          <w:numId w:val="1008"/>
        </w:numPr>
        <w:pStyle w:val="Compact"/>
      </w:pPr>
      <w:r>
        <w:t xml:space="preserve">Technology &amp; Platform: 25% (Brussels data infrastructure integration)</w:t>
      </w:r>
    </w:p>
    <w:p>
      <w:pPr>
        <w:numPr>
          <w:ilvl w:val="0"/>
          <w:numId w:val="1008"/>
        </w:numPr>
        <w:pStyle w:val="Compact"/>
      </w:pPr>
      <w:r>
        <w:t xml:space="preserve">Sales Team Expansion: 20% (Hiring two local Flemish/Walloon sales leads)</w:t>
      </w:r>
    </w:p>
    <w:p>
      <w:pPr>
        <w:numPr>
          <w:ilvl w:val="0"/>
          <w:numId w:val="1008"/>
        </w:numPr>
        <w:pStyle w:val="Compact"/>
      </w:pPr>
      <w:r>
        <w:t xml:space="preserve">Content Development: 15% (Belgium-focused case studies, whitepapers)</w:t>
      </w:r>
    </w:p>
    <w:p>
      <w:pPr>
        <w:numPr>
          <w:ilvl w:val="0"/>
          <w:numId w:val="1008"/>
        </w:numPr>
        <w:pStyle w:val="Compact"/>
      </w:pPr>
      <w:r>
        <w:t xml:space="preserve">Contingency: 5%</w:t>
      </w:r>
    </w:p>
    <w:bookmarkEnd w:id="31"/>
    <w:bookmarkStart w:id="32" w:name="evaluation-control"/>
    <w:p>
      <w:pPr>
        <w:pStyle w:val="Heading2"/>
      </w:pPr>
      <w:r>
        <w:t xml:space="preserve">Evaluation &amp; Control</w:t>
      </w:r>
    </w:p>
    <w:p>
      <w:pPr>
        <w:pStyle w:val="FirstParagraph"/>
      </w:pPr>
      <w:r>
        <w:t xml:space="preserve">We will measure success through:</w:t>
      </w:r>
    </w:p>
    <w:p>
      <w:pPr>
        <w:numPr>
          <w:ilvl w:val="0"/>
          <w:numId w:val="1009"/>
        </w:numPr>
        <w:pStyle w:val="Compact"/>
      </w:pPr>
      <w:r>
        <w:rPr>
          <w:bCs/>
          <w:b/>
        </w:rPr>
        <w:t xml:space="preserve">Brussels-Specific Metrics:</w:t>
      </w:r>
      <w:r>
        <w:t xml:space="preserve"> </w:t>
      </w:r>
      <w:r>
        <w:t xml:space="preserve">Client acquisition cost (CAC) within Belgium vs. national average; retention rate of Belgian clients.</w:t>
      </w:r>
    </w:p>
    <w:p>
      <w:pPr>
        <w:numPr>
          <w:ilvl w:val="0"/>
          <w:numId w:val="1009"/>
        </w:numPr>
        <w:pStyle w:val="Compact"/>
      </w:pPr>
      <w:r>
        <w:rPr>
          <w:bCs/>
          <w:b/>
        </w:rPr>
        <w:t xml:space="preserve">Linguistic Performance:</w:t>
      </w:r>
      <w:r>
        <w:t xml:space="preserve"> </w:t>
      </w:r>
      <w:r>
        <w:t xml:space="preserve">% of content consumed in Dutch/French; client satisfaction on language accessibility.</w:t>
      </w:r>
    </w:p>
    <w:p>
      <w:pPr>
        <w:numPr>
          <w:ilvl w:val="0"/>
          <w:numId w:val="1009"/>
        </w:numPr>
        <w:pStyle w:val="Compact"/>
      </w:pPr>
      <w:r>
        <w:rPr>
          <w:bCs/>
          <w:b/>
        </w:rPr>
        <w:t xml:space="preserve">Economic Impact:</w:t>
      </w:r>
      <w:r>
        <w:t xml:space="preserve"> </w:t>
      </w:r>
      <w:r>
        <w:t xml:space="preserve">Tracking revenue from Brussels-based clients versus other EU regions (target: 85% of Year 1 revenue).</w:t>
      </w:r>
    </w:p>
    <w:p>
      <w:pPr>
        <w:pStyle w:val="FirstParagraph"/>
      </w:pPr>
      <w:r>
        <w:t xml:space="preserve">Monthly review meetings will assess KPIs against the Belgium Brussels market benchmark. If client acquisition in Brussels lags by &gt;15% of target, we pivot to hyper-local tactics (e.g., partnering with Vlaams Economisch Verbond for Dutch-speaking clients).</w:t>
      </w:r>
    </w:p>
    <w:bookmarkEnd w:id="32"/>
    <w:bookmarkStart w:id="33" w:name="X19016e675200f68bdb72090638477572bd2db71"/>
    <w:p>
      <w:pPr>
        <w:pStyle w:val="Heading2"/>
      </w:pPr>
      <w:r>
        <w:t xml:space="preserve">Conclusion: The Mathematician as a Belgian Asset</w:t>
      </w:r>
    </w:p>
    <w:p>
      <w:pPr>
        <w:pStyle w:val="FirstParagraph"/>
      </w:pPr>
      <w:r>
        <w:t xml:space="preserve">"The Mathematician" is not merely a consultancy—it's an essential partner for any business operating from Belgium Brussels. By embedding mathematical excellence within the linguistic, regulatory, and cultural fabric of the capital, we transform complex data into decisive advantage for our clients. This plan ensures "Mathematician" becomes synonymous with precision-driven growth in Belgium’s economic epicenter. In a city where 74% of international firms choose Brussels for EU market entry (Belgian Federal Planning Bureau, 2023), "The Mathematician" is positioned to be the trusted quantifier of that success—proving that mathematical rigor thrives best when rooted in local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in Belgium Brussels</dc:title>
  <dc:creator/>
  <dc:language>en</dc:language>
  <cp:keywords/>
  <dcterms:created xsi:type="dcterms:W3CDTF">2026-07-21T04:47:14Z</dcterms:created>
  <dcterms:modified xsi:type="dcterms:W3CDTF">2026-07-21T04:47:14Z</dcterms:modified>
</cp:coreProperties>
</file>

<file path=docProps/custom.xml><?xml version="1.0" encoding="utf-8"?>
<Properties xmlns="http://schemas.openxmlformats.org/officeDocument/2006/custom-properties" xmlns:vt="http://schemas.openxmlformats.org/officeDocument/2006/docPropsVTypes"/>
</file>