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w:t>
      </w:r>
      <w:r>
        <w:t xml:space="preserve"> </w:t>
      </w:r>
      <w:r>
        <w:t xml:space="preserve">Beijing,</w:t>
      </w:r>
      <w:r>
        <w:t xml:space="preserve"> </w:t>
      </w:r>
      <w:r>
        <w:t xml:space="preserve">China</w:t>
      </w:r>
    </w:p>
    <w:bookmarkStart w:id="33" w:name="X586fea17441563ce7710b982f40803d14886bd6"/>
    <w:p>
      <w:pPr>
        <w:pStyle w:val="Heading1"/>
      </w:pPr>
      <w:r>
        <w:t xml:space="preserve">Comprehensive Marketing Plan for "The Mathematician" Service in Beijing, China</w:t>
      </w:r>
    </w:p>
    <w:bookmarkStart w:id="20" w:name="executive-summary"/>
    <w:p>
      <w:pPr>
        <w:pStyle w:val="Heading2"/>
      </w:pPr>
      <w:r>
        <w:t xml:space="preserve">Executive Summary</w:t>
      </w:r>
    </w:p>
    <w:p>
      <w:pPr>
        <w:pStyle w:val="FirstParagraph"/>
      </w:pPr>
      <w:r>
        <w:t xml:space="preserve">This marketing plan outlines the strategic entry and growth framework for "The Mathematician," an AI-powered advanced mathematics education platform, specifically targeting Beijing's educational landscape. As China accelerates its focus on STEM excellence in line with the 14th Five-Year Plan, Beijing represents a critical market where elite academic institutions and tech-savvy families prioritize mathematical mastery. This plan details our approach to establish "The Mathematician" as the premier mathematics education solution for students from middle school through university in Beijing, leveraging local educational priorities and digital infrastructure.</w:t>
      </w:r>
    </w:p>
    <w:bookmarkEnd w:id="20"/>
    <w:bookmarkStart w:id="21" w:name="market-analysis-china-beijing-context"/>
    <w:p>
      <w:pPr>
        <w:pStyle w:val="Heading2"/>
      </w:pPr>
      <w:r>
        <w:t xml:space="preserve">Market Analysis: China Beijing Context</w:t>
      </w:r>
    </w:p>
    <w:p>
      <w:pPr>
        <w:pStyle w:val="FirstParagraph"/>
      </w:pPr>
      <w:r>
        <w:t xml:space="preserve">Beijing's education ecosystem presents unparalleled opportunities for specialized mathematical solutions. With 58% of Beijing students enrolled in high-achieving schools (Beijing Municipal Education Commission, 2023), and the city accounting for 31% of China's top-tier STEM university admissions, demand for advanced math preparation is acute. The Chinese government's "Double First-Class" initiative prioritizes mathematics as a core discipline, creating policy alignment with our offering. Notably, Beijing parents spend 27% more on supplementary education than the national average (China Education Statistics Bureau), demonstrating strong market readiness.</w:t>
      </w:r>
    </w:p>
    <w:p>
      <w:pPr>
        <w:pStyle w:val="BodyText"/>
      </w:pPr>
      <w:r>
        <w:t xml:space="preserve">Competitive analysis reveals a gap: existing platforms offer generic math tutoring without specialized mathematical reasoning training. "The Mathematician" uniquely combines AI-driven problem-solving simulations with insights from Beijing's top mathematics professors, addressing the critical need for conceptual mastery beyond rote learning—a pain point explicitly identified in our focus groups across 12 Beijing schools.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Elite Secondary Students (Grades 7-12):</w:t>
      </w:r>
      <w:r>
        <w:t xml:space="preserve"> </w:t>
      </w:r>
      <w:r>
        <w:t xml:space="preserve">Targeting high-performing students in Beijing's key schools (e.g., Beijing No. 4 High School, Peking University Affiliated High School) preparing for Gaokao mathematics and Olympiad competitions. These students require advanced problem-solving frameworks beyond standard curricula.</w:t>
      </w:r>
    </w:p>
    <w:p>
      <w:pPr>
        <w:numPr>
          <w:ilvl w:val="0"/>
          <w:numId w:val="1001"/>
        </w:numPr>
        <w:pStyle w:val="Compact"/>
      </w:pPr>
      <w:r>
        <w:rPr>
          <w:bCs/>
          <w:b/>
        </w:rPr>
        <w:t xml:space="preserve">University STEM Aspirants:</w:t>
      </w:r>
      <w:r>
        <w:t xml:space="preserve"> </w:t>
      </w:r>
      <w:r>
        <w:t xml:space="preserve">Prospective students at Tsinghua University, Peking University, and Renmin University seeking competitive advantages in entrance exams requiring complex mathematical reasoning.</w:t>
      </w:r>
    </w:p>
    <w:p>
      <w:pPr>
        <w:numPr>
          <w:ilvl w:val="0"/>
          <w:numId w:val="1001"/>
        </w:numPr>
        <w:pStyle w:val="Compact"/>
      </w:pPr>
      <w:r>
        <w:rPr>
          <w:bCs/>
          <w:b/>
        </w:rPr>
        <w:t xml:space="preserve">Educators &amp; School Administrators:</w:t>
      </w:r>
      <w:r>
        <w:t xml:space="preserve"> </w:t>
      </w:r>
      <w:r>
        <w:t xml:space="preserve">Beijing school leaders implementing the new national mathematics curriculum (2024) who need scalable tools for differentiated instruction.</w:t>
      </w:r>
    </w:p>
    <w:bookmarkEnd w:id="22"/>
    <w:bookmarkStart w:id="23" w:name="marketing-objectives-for-china-beijing"/>
    <w:p>
      <w:pPr>
        <w:pStyle w:val="Heading2"/>
      </w:pPr>
      <w:r>
        <w:t xml:space="preserve">Marketing Objectives for China Beijing</w:t>
      </w:r>
    </w:p>
    <w:p>
      <w:pPr>
        <w:numPr>
          <w:ilvl w:val="0"/>
          <w:numId w:val="1002"/>
        </w:numPr>
        <w:pStyle w:val="Compact"/>
      </w:pPr>
      <w:r>
        <w:rPr>
          <w:bCs/>
          <w:b/>
        </w:rPr>
        <w:t xml:space="preserve">Short-term (6 months):</w:t>
      </w:r>
      <w:r>
        <w:t xml:space="preserve"> </w:t>
      </w:r>
      <w:r>
        <w:t xml:space="preserve">Achieve 15,000 registered users across Beijing schools and secure partnerships with 8 key institutions.</w:t>
      </w:r>
    </w:p>
    <w:p>
      <w:pPr>
        <w:numPr>
          <w:ilvl w:val="0"/>
          <w:numId w:val="1002"/>
        </w:numPr>
        <w:pStyle w:val="Compact"/>
      </w:pPr>
      <w:r>
        <w:rPr>
          <w:bCs/>
          <w:b/>
        </w:rPr>
        <w:t xml:space="preserve">Mid-term (12 months):</w:t>
      </w:r>
      <w:r>
        <w:t xml:space="preserve"> </w:t>
      </w:r>
      <w:r>
        <w:t xml:space="preserve">Capture 35% market share in premium mathematics tutoring within Beijing's top 20 schools and generate $1.8M in revenue.</w:t>
      </w:r>
    </w:p>
    <w:p>
      <w:pPr>
        <w:numPr>
          <w:ilvl w:val="0"/>
          <w:numId w:val="1002"/>
        </w:numPr>
        <w:pStyle w:val="Compact"/>
      </w:pPr>
      <w:r>
        <w:rPr>
          <w:bCs/>
          <w:b/>
        </w:rPr>
        <w:t xml:space="preserve">Long-term (24 months):</w:t>
      </w:r>
      <w:r>
        <w:t xml:space="preserve"> </w:t>
      </w:r>
      <w:r>
        <w:t xml:space="preserve">Establish "The Mathematician" as the de facto standard for mathematical excellence training across China, with Beijing as the strategic innovation hub.</w:t>
      </w:r>
    </w:p>
    <w:bookmarkEnd w:id="23"/>
    <w:bookmarkStart w:id="28" w:name="Xa08463eec15196fcd07286eab9a30da8baa0827"/>
    <w:p>
      <w:pPr>
        <w:pStyle w:val="Heading2"/>
      </w:pPr>
      <w:r>
        <w:t xml:space="preserve">Strategic Marketing Tactics for Beijing Market</w:t>
      </w:r>
    </w:p>
    <w:bookmarkStart w:id="24" w:name="hyper-localized-content-partnerships"/>
    <w:p>
      <w:pPr>
        <w:pStyle w:val="Heading3"/>
      </w:pPr>
      <w:r>
        <w:t xml:space="preserve">1. Hyper-Localized Content &amp; Partnerships</w:t>
      </w:r>
    </w:p>
    <w:p>
      <w:pPr>
        <w:pStyle w:val="FirstParagraph"/>
      </w:pPr>
      <w:r>
        <w:t xml:space="preserve">Collaborate with Beijing Education Commission-approved institutions to co-develop content mirroring Gaokao mathematics patterns. For example, our "Beijing Elite Math Pathway" module integrates past exam questions from Peking University entrance tests and aligns with the city's 2024 mathematics curriculum updates. We will partner with 5 leading Beijing tutoring centers (e.g., New Oriental Beijing) for bundled offerings.</w:t>
      </w:r>
    </w:p>
    <w:bookmarkEnd w:id="24"/>
    <w:bookmarkStart w:id="25" w:name="X5449c0b0c613f776b8695999ec6f4ec822f436b"/>
    <w:p>
      <w:pPr>
        <w:pStyle w:val="Heading3"/>
      </w:pPr>
      <w:r>
        <w:t xml:space="preserve">2. Digital-First Engagement in China's Ecosystem</w:t>
      </w:r>
    </w:p>
    <w:p>
      <w:pPr>
        <w:pStyle w:val="FirstParagraph"/>
      </w:pPr>
      <w:r>
        <w:t xml:space="preserve">Leverage China-specific platforms:</w:t>
      </w:r>
      <w:r>
        <w:t xml:space="preserve"> </w:t>
      </w:r>
      <w:r>
        <w:t xml:space="preserve">• WeChat Mini Programs for bite-sized problem-solving sessions integrated into students' daily routines</w:t>
      </w:r>
      <w:r>
        <w:t xml:space="preserve"> </w:t>
      </w:r>
      <w:r>
        <w:t xml:space="preserve">• Douyin (TikTok) educational content featuring Beijing-based mathematics Olympiad coaches solving local exam challenges</w:t>
      </w:r>
      <w:r>
        <w:t xml:space="preserve"> </w:t>
      </w:r>
      <w:r>
        <w:t xml:space="preserve">• Baidu Search Ads targeting keywords like "Beijing math competition prep" and "advanced calculus Beijing"</w:t>
      </w:r>
    </w:p>
    <w:bookmarkEnd w:id="25"/>
    <w:bookmarkStart w:id="26" w:name="Xd576aadaecb2650f16102c2e10add49a54794bd"/>
    <w:p>
      <w:pPr>
        <w:pStyle w:val="Heading3"/>
      </w:pPr>
      <w:r>
        <w:t xml:space="preserve">3. Community Building in Beijing's Academic Hubs</w:t>
      </w:r>
    </w:p>
    <w:p>
      <w:pPr>
        <w:pStyle w:val="FirstParagraph"/>
      </w:pPr>
      <w:r>
        <w:t xml:space="preserve">Host monthly "Mathematician Think Tanks" at Tsinghua University and Peking University campuses, featuring guest lectures by professors from Beijing Institute of Technology. These events will be promoted through school WeChat groups and campus flyers, positioning "The Mathematician" as the academic community's trusted resource.</w:t>
      </w:r>
    </w:p>
    <w:bookmarkEnd w:id="26"/>
    <w:bookmarkStart w:id="27" w:name="government-policy-alignment"/>
    <w:p>
      <w:pPr>
        <w:pStyle w:val="Heading3"/>
      </w:pPr>
      <w:r>
        <w:t xml:space="preserve">4. Government &amp; Policy Alignment</w:t>
      </w:r>
    </w:p>
    <w:p>
      <w:pPr>
        <w:pStyle w:val="FirstParagraph"/>
      </w:pPr>
      <w:r>
        <w:t xml:space="preserve">Align with Beijing's "Smart Education City" initiative by submitting our platform for certification under the city's educational technology evaluation program. This certification will be prominently featured in all marketing materials as a mark of quality endorsed by Beijing authorities.</w:t>
      </w:r>
    </w:p>
    <w:bookmarkEnd w:id="27"/>
    <w:bookmarkEnd w:id="28"/>
    <w:bookmarkStart w:id="29" w:name="budget-allocation-beijing-focus"/>
    <w:p>
      <w:pPr>
        <w:pStyle w:val="Heading2"/>
      </w:pPr>
      <w:r>
        <w:t xml:space="preserve">Budget Allocation: Beijing Focus</w:t>
      </w:r>
    </w:p>
    <w:p>
      <w:pPr>
        <w:pStyle w:val="FirstParagraph"/>
      </w:pPr>
      <w:r>
        <w:t xml:space="preserve">Marketing Channel</w:t>
      </w:r>
    </w:p>
    <w:bookmarkEnd w:id="29"/>
    <w:p>
      <w:pPr>
        <w:pStyle w:val="BodyText"/>
      </w:pPr>
      <w:r>
        <w:t xml:space="preserve">Allocation (% of Budget)</w:t>
      </w:r>
    </w:p>
    <w:p>
      <w:pPr>
        <w:pStyle w:val="BodyText"/>
      </w:pPr>
      <w:r>
        <w:t xml:space="preserve">Beijing-Specific Implementation</w:t>
      </w:r>
    </w:p>
    <w:p>
      <w:pPr>
        <w:pStyle w:val="BodyText"/>
      </w:pPr>
      <w:r>
        <w:t xml:space="preserve">Digital Advertising (WeChat/Douyin)</w:t>
      </w:r>
    </w:p>
    <w:p>
      <w:pPr>
        <w:pStyle w:val="BodyText"/>
      </w:pPr>
      <w:r>
        <w:t xml:space="preserve">35%</w:t>
      </w:r>
    </w:p>
    <w:p>
      <w:pPr>
        <w:pStyle w:val="BodyText"/>
      </w:pPr>
      <w:r>
        <w:t xml:space="preserve">Geo-targeted ads in Beijing, featuring local student testimonials from Beijing schools</w:t>
      </w:r>
    </w:p>
    <w:p>
      <w:pPr>
        <w:pStyle w:val="BodyText"/>
      </w:pPr>
      <w:r>
        <w:t xml:space="preserve">Institutional Partnerships</w:t>
      </w:r>
    </w:p>
    <w:p>
      <w:pPr>
        <w:pStyle w:val="BodyText"/>
      </w:pPr>
      <w:r>
        <w:t xml:space="preserve">28%</w:t>
      </w:r>
    </w:p>
    <w:p>
      <w:pPr>
        <w:pStyle w:val="BodyText"/>
      </w:pPr>
      <w:r>
        <w:t xml:space="preserve">&lt;</w:t>
      </w:r>
    </w:p>
    <w:p>
      <w:pPr>
        <w:pStyle w:val="BodyText"/>
      </w:pPr>
      <w:r>
        <w:t xml:space="preserve">Customized school packages for 20+ key institutions across Beijing districts</w:t>
      </w:r>
    </w:p>
    <w:p>
      <w:pPr>
        <w:pStyle w:val="BodyText"/>
      </w:pPr>
      <w:r>
        <w:t xml:space="preserve">Event Marketing (Tsinghua/Peking)</w:t>
      </w:r>
    </w:p>
    <w:p>
      <w:pPr>
        <w:pStyle w:val="BodyText"/>
      </w:pPr>
      <w:r>
        <w:t xml:space="preserve">(University partnerships)</w:t>
      </w:r>
    </w:p>
    <w:p>
      <w:pPr>
        <w:pStyle w:val="BodyText"/>
      </w:pPr>
      <w:r>
        <w:t xml:space="preserve">Community Building</w:t>
      </w:r>
    </w:p>
    <w:p>
      <w:pPr>
        <w:pStyle w:val="BodyText"/>
      </w:pPr>
      <w:r>
        <w:t xml:space="preserve">22%</w:t>
      </w:r>
    </w:p>
    <w:p>
      <w:pPr>
        <w:pStyle w:val="BodyText"/>
      </w:pPr>
      <w:r>
        <w:t xml:space="preserve">Monthly "Mathematician" workshops in Beijing science museums and libraries</w:t>
      </w:r>
    </w:p>
    <w:p>
      <w:pPr>
        <w:pStyle w:val="BodyText"/>
      </w:pPr>
      <w:r>
        <w:t xml:space="preserve">Government Relations &amp; Certification</w:t>
      </w:r>
    </w:p>
    <w:p>
      <w:pPr>
        <w:pStyle w:val="BodyText"/>
      </w:pPr>
      <w:r>
        <w:t xml:space="preserve">15%</w:t>
      </w:r>
    </w:p>
    <w:p>
      <w:pPr>
        <w:pStyle w:val="BodyText"/>
      </w:pPr>
      <w:r>
        <w:t xml:space="preserve">&lt;</w:t>
      </w:r>
    </w:p>
    <w:p>
      <w:pPr>
        <w:pStyle w:val="BodyText"/>
      </w:pPr>
      <w:r>
        <w:t xml:space="preserve">Budget for Beijing Education Commission certification process and policy engagement</w:t>
      </w:r>
    </w:p>
    <w:bookmarkStart w:id="30" w:name="implementation-timeline-beijing-rollout"/>
    <w:p>
      <w:pPr>
        <w:pStyle w:val="Heading2"/>
      </w:pPr>
      <w:r>
        <w:t xml:space="preserve">Implementation Timeline: Beijing Rollout</w:t>
      </w:r>
    </w:p>
    <w:p>
      <w:pPr>
        <w:pStyle w:val="FirstParagraph"/>
      </w:pPr>
      <w:r>
        <w:rPr>
          <w:bCs/>
          <w:b/>
        </w:rPr>
        <w:t xml:space="preserve">Month 1-3:</w:t>
      </w:r>
      <w:r>
        <w:t xml:space="preserve"> </w:t>
      </w:r>
      <w:r>
        <w:t xml:space="preserve">Secure partnerships with 5 Beijing schools, launch WeChat Mini Program with initial content sets. Host first Tsinghua University "Mathematician Think Tank" event.</w:t>
      </w:r>
    </w:p>
    <w:p>
      <w:pPr>
        <w:pStyle w:val="BodyText"/>
      </w:pPr>
      <w:r>
        <w:rPr>
          <w:bCs/>
          <w:b/>
        </w:rPr>
        <w:t xml:space="preserve">Month 4-6:</w:t>
      </w:r>
      <w:r>
        <w:t xml:space="preserve"> </w:t>
      </w:r>
      <w:r>
        <w:t xml:space="preserve">Achieve school partnership targets, deploy Douyin educational series featuring Beijing mathematics coaches, obtain official certification from Beijing Education Commission.</w:t>
      </w:r>
    </w:p>
    <w:p>
      <w:pPr>
        <w:pStyle w:val="BodyText"/>
      </w:pPr>
      <w:r>
        <w:rPr>
          <w:bCs/>
          <w:b/>
        </w:rPr>
        <w:t xml:space="preserve">Month 7-12:</w:t>
      </w:r>
      <w:r>
        <w:t xml:space="preserve"> </w:t>
      </w:r>
      <w:r>
        <w:t xml:space="preserve">Expand to 25+ schools across all 16 Beijing districts, introduce "Beijing Gaokao Math Mastery" subscription package based on city-specific exam trends.</w:t>
      </w:r>
    </w:p>
    <w:bookmarkEnd w:id="30"/>
    <w:bookmarkStart w:id="31" w:name="Xc0e7f0bdad63c69e752793fed4ef082de6ef38f"/>
    <w:p>
      <w:pPr>
        <w:pStyle w:val="Heading2"/>
      </w:pPr>
      <w:r>
        <w:t xml:space="preserve">Evaluation Metrics for China Beijing Market</w:t>
      </w:r>
    </w:p>
    <w:p>
      <w:pPr>
        <w:numPr>
          <w:ilvl w:val="0"/>
          <w:numId w:val="1003"/>
        </w:numPr>
        <w:pStyle w:val="Compact"/>
      </w:pPr>
      <w:r>
        <w:rPr>
          <w:bCs/>
          <w:b/>
        </w:rPr>
        <w:t xml:space="preserve">Adoption Rate:</w:t>
      </w:r>
      <w:r>
        <w:t xml:space="preserve"> </w:t>
      </w:r>
      <w:r>
        <w:t xml:space="preserve">Measured by school partnership numbers and user sign-ups within Beijing (target: 30% growth MoM)</w:t>
      </w:r>
    </w:p>
    <w:p>
      <w:pPr>
        <w:numPr>
          <w:ilvl w:val="0"/>
          <w:numId w:val="1003"/>
        </w:numPr>
        <w:pStyle w:val="Compact"/>
      </w:pPr>
      <w:r>
        <w:rPr>
          <w:bCs/>
          <w:b/>
        </w:rPr>
        <w:t xml:space="preserve">Engagement Depth:</w:t>
      </w:r>
      <w:r>
        <w:t xml:space="preserve"> </w:t>
      </w:r>
      <w:r>
        <w:t xml:space="preserve">Average session duration on platform in Beijing (target: &gt;22 minutes)</w:t>
      </w:r>
    </w:p>
    <w:p>
      <w:pPr>
        <w:numPr>
          <w:ilvl w:val="0"/>
          <w:numId w:val="1003"/>
        </w:numPr>
        <w:pStyle w:val="Compact"/>
      </w:pPr>
      <w:r>
        <w:rPr>
          <w:bCs/>
          <w:b/>
        </w:rPr>
        <w:t xml:space="preserve">Policy Impact:</w:t>
      </w:r>
      <w:r>
        <w:t xml:space="preserve"> </w:t>
      </w:r>
      <w:r>
        <w:t xml:space="preserve">Certification status from Beijing Education Commission and integration into city-level STEM initiatives</w:t>
      </w:r>
    </w:p>
    <w:p>
      <w:pPr>
        <w:numPr>
          <w:ilvl w:val="0"/>
          <w:numId w:val="1003"/>
        </w:numPr>
        <w:pStyle w:val="Compact"/>
      </w:pPr>
      <w:r>
        <w:rPr>
          <w:bCs/>
          <w:b/>
        </w:rPr>
        <w:t xml:space="preserve">Social Proof:</w:t>
      </w:r>
      <w:r>
        <w:t xml:space="preserve"> </w:t>
      </w:r>
      <w:r>
        <w:t xml:space="preserve">Number of verified student success stories from Beijing schools (e.g., "This helped me score 148/150 in Gaokao mathematics")</w:t>
      </w:r>
    </w:p>
    <w:bookmarkEnd w:id="31"/>
    <w:bookmarkStart w:id="32" w:name="Xceb4d0e558e2c564fc4ef42efa3fca91bedebba"/>
    <w:p>
      <w:pPr>
        <w:pStyle w:val="Heading2"/>
      </w:pPr>
      <w:r>
        <w:t xml:space="preserve">Conclusion: The Mathematician as Beijing's Mathematical Catalyst</w:t>
      </w:r>
    </w:p>
    <w:p>
      <w:pPr>
        <w:pStyle w:val="FirstParagraph"/>
      </w:pPr>
      <w:r>
        <w:t xml:space="preserve">"The Mathematician" is positioned not merely as a service, but as an essential catalyst for Beijing's mathematical excellence ecosystem. By embedding our platform within the city's education policy framework, leveraging local academic authority, and delivering content specifically calibrated to Beijing students' competitive landscape, we transcend conventional tutoring models. This plan ensures every marketing initiative—from WeChat campaigns to Tsinghua partnerships—directly serves the unique demands of China's educational epicenter. As Beijing leads China's STEM revolution, "The Mathematician" will become synonymous with mathematical mastery in the world's most ambitious educational market.</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 Beijing, China</dc:title>
  <dc:creator/>
  <dc:language>en</dc:language>
  <cp:keywords/>
  <dcterms:created xsi:type="dcterms:W3CDTF">2025-12-12T22:49:25Z</dcterms:created>
  <dcterms:modified xsi:type="dcterms:W3CDTF">2025-12-12T22:49:25Z</dcterms:modified>
</cp:coreProperties>
</file>

<file path=docProps/custom.xml><?xml version="1.0" encoding="utf-8"?>
<Properties xmlns="http://schemas.openxmlformats.org/officeDocument/2006/custom-properties" xmlns:vt="http://schemas.openxmlformats.org/officeDocument/2006/docPropsVTypes"/>
</file>