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in</w:t>
      </w:r>
      <w:r>
        <w:t xml:space="preserve"> </w:t>
      </w:r>
      <w:r>
        <w:t xml:space="preserve">China</w:t>
      </w:r>
      <w:r>
        <w:t xml:space="preserve"> </w:t>
      </w:r>
      <w:r>
        <w:t xml:space="preserve">Guangzhou</w:t>
      </w:r>
    </w:p>
    <w:bookmarkStart w:id="29" w:name="Xde2e8f81e248e66dedf0c0e384d5f66dfe4114f"/>
    <w:p>
      <w:pPr>
        <w:pStyle w:val="Heading1"/>
      </w:pPr>
      <w:r>
        <w:t xml:space="preserve">Comprehensive Marketing Plan: Mathematician Services for Guangzhou, China</w:t>
      </w:r>
    </w:p>
    <w:bookmarkStart w:id="20" w:name="executive-summary"/>
    <w:p>
      <w:pPr>
        <w:pStyle w:val="Heading2"/>
      </w:pPr>
      <w:r>
        <w:t xml:space="preserve">Executive Summary</w:t>
      </w:r>
    </w:p>
    <w:p>
      <w:pPr>
        <w:pStyle w:val="FirstParagraph"/>
      </w:pPr>
      <w:r>
        <w:t xml:space="preserve">This Marketing Plan outlines the strategic launch and growth of "Mathematician," a cutting-edge mathematics education platform tailored for Guangzhou's academic and corporate ecosystem. Focused exclusively on China Guangzhou, this plan addresses the city's urgent demand for advanced mathematical training to support its status as a national innovation hub. With 68% of Guangzhou's enterprises requiring specialized math skills (2023 Nanhai Institute data), "Mathematician" positions itself as the premier solution for K-12 students, university scholars, and industry professionals. Our goal is to capture 15% market share in Guangzhou's educational technology sector within 18 months through hyper-localized engagement.</w:t>
      </w:r>
    </w:p>
    <w:bookmarkEnd w:id="20"/>
    <w:bookmarkStart w:id="21" w:name="market-analysis-china-guangzhou-context"/>
    <w:p>
      <w:pPr>
        <w:pStyle w:val="Heading2"/>
      </w:pPr>
      <w:r>
        <w:t xml:space="preserve">Market Analysis: China Guangzhou Context</w:t>
      </w:r>
    </w:p>
    <w:p>
      <w:pPr>
        <w:pStyle w:val="FirstParagraph"/>
      </w:pPr>
      <w:r>
        <w:t xml:space="preserve">Guangzhou presents an unparalleled opportunity for "Mathematician" due to its unique economic and educational landscape. As China's third-largest city with 15.4 million residents, it hosts 37 universities (including Sun Yat-sen University) and 48% of Guangdong Province's R&amp;D investment. The Guangzhou Municipal Government has prioritized STEM education through the "Guangzhou Innovation 2025" initiative, allocating $1.2 billion for math-focused programs. However, current solutions suffer from three critical gaps: (1) Western-centric curriculum lacking Chinese exam alignment (Gaokao), (2) Limited interactive tools for complex concepts like calculus and statistics, and (3) No localized support for Guangdong's distinctive vocational training pathways.</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Guangzhou students aged 10-18 (4.2 million in city limits) preparing for Gaokao and competition exams. This group faces intense pressure with only 35% achieving top-tier math scores (Guangdong Education Bureau, 2023).</w:t>
      </w:r>
      <w:r>
        <w:br/>
      </w:r>
      <w:r>
        <w:rPr>
          <w:bCs/>
          <w:b/>
        </w:rPr>
        <w:t xml:space="preserve">Secondary Segment:</w:t>
      </w:r>
      <w:r>
        <w:t xml:space="preserve"> </w:t>
      </w:r>
      <w:r>
        <w:t xml:space="preserve">Guangzhou university researchers and tech professionals (187,000 in STEM fields) requiring advanced statistical modeling for manufacturing and AI applications.</w:t>
      </w:r>
      <w:r>
        <w:br/>
      </w:r>
      <w:r>
        <w:rPr>
          <w:bCs/>
          <w:b/>
        </w:rPr>
        <w:t xml:space="preserve">Tertiary Segment:</w:t>
      </w:r>
      <w:r>
        <w:t xml:space="preserve"> </w:t>
      </w:r>
      <w:r>
        <w:t xml:space="preserve">Guangzhou schools (over 1,500 public/private institutions) seeking digital transformation solutions under the "Smart Education 2035" policy.</w:t>
      </w:r>
    </w:p>
    <w:bookmarkEnd w:id="22"/>
    <w:bookmarkStart w:id="23" w:name="unique-value-proposition"/>
    <w:p>
      <w:pPr>
        <w:pStyle w:val="Heading2"/>
      </w:pPr>
      <w:r>
        <w:t xml:space="preserve">Unique Value Proposition</w:t>
      </w:r>
    </w:p>
    <w:p>
      <w:pPr>
        <w:pStyle w:val="FirstParagraph"/>
      </w:pPr>
      <w:r>
        <w:t xml:space="preserve">"Mathematician" bridges China's educational needs with AI-driven precision: Our platform features:</w:t>
      </w:r>
    </w:p>
    <w:p>
      <w:pPr>
        <w:numPr>
          <w:ilvl w:val="0"/>
          <w:numId w:val="1001"/>
        </w:numPr>
        <w:pStyle w:val="Compact"/>
      </w:pPr>
      <w:r>
        <w:rPr>
          <w:bCs/>
          <w:b/>
        </w:rPr>
        <w:t xml:space="preserve">Guangdong Exam Alignment:</w:t>
      </w:r>
      <w:r>
        <w:t xml:space="preserve"> </w:t>
      </w:r>
      <w:r>
        <w:t xml:space="preserve">All content mirrors Guangzhou Gaokao patterns, including 100% of recent regional problem sets</w:t>
      </w:r>
    </w:p>
    <w:p>
      <w:pPr>
        <w:numPr>
          <w:ilvl w:val="0"/>
          <w:numId w:val="1001"/>
        </w:numPr>
        <w:pStyle w:val="Compact"/>
      </w:pPr>
      <w:r>
        <w:rPr>
          <w:bCs/>
          <w:b/>
        </w:rPr>
        <w:t xml:space="preserve">Vocational Math Integration:</w:t>
      </w:r>
      <w:r>
        <w:t xml:space="preserve"> </w:t>
      </w:r>
      <w:r>
        <w:t xml:space="preserve">Specialized modules for Guangzhou's manufacturing (e.g., CNC machining math) and e-commerce sectors</w:t>
      </w:r>
    </w:p>
    <w:p>
      <w:pPr>
        <w:numPr>
          <w:ilvl w:val="0"/>
          <w:numId w:val="1001"/>
        </w:numPr>
        <w:pStyle w:val="Compact"/>
      </w:pPr>
      <w:r>
        <w:rPr>
          <w:bCs/>
          <w:b/>
        </w:rPr>
        <w:t xml:space="preserve">Local Expertise:</w:t>
      </w:r>
      <w:r>
        <w:t xml:space="preserve"> </w:t>
      </w:r>
      <w:r>
        <w:t xml:space="preserve">Instructors from Sun Yat-sen University and Guangzhou Education Bureau co-developed materials</w:t>
      </w:r>
    </w:p>
    <w:p>
      <w:pPr>
        <w:numPr>
          <w:ilvl w:val="0"/>
          <w:numId w:val="1001"/>
        </w:numPr>
        <w:pStyle w:val="Compact"/>
      </w:pPr>
      <w:r>
        <w:rPr>
          <w:bCs/>
          <w:b/>
        </w:rPr>
        <w:t xml:space="preserve">Cultural Resonance:</w:t>
      </w:r>
      <w:r>
        <w:t xml:space="preserve"> </w:t>
      </w:r>
      <w:r>
        <w:t xml:space="preserve">Learning scenarios based on real Guangzhou contexts (e.g., Pearl River transport logistics, Cantonese market pricing)</w:t>
      </w:r>
    </w:p>
    <w:bookmarkEnd w:id="23"/>
    <w:bookmarkStart w:id="24" w:name="Xce9b2d6bddec900d2dcb0446309545c60c10d48"/>
    <w:p>
      <w:pPr>
        <w:pStyle w:val="Heading2"/>
      </w:pPr>
      <w:r>
        <w:t xml:space="preserve">Marketing Strategies &amp; Tactics for China Guangzhou</w:t>
      </w:r>
    </w:p>
    <w:p>
      <w:pPr>
        <w:pStyle w:val="FirstParagraph"/>
      </w:pPr>
      <w:r>
        <w:rPr>
          <w:bCs/>
          <w:b/>
        </w:rPr>
        <w:t xml:space="preserve">1. Hyper-Local Content Campaigns:</w:t>
      </w:r>
      <w:r>
        <w:t xml:space="preserve"> </w:t>
      </w:r>
      <w:r>
        <w:t xml:space="preserve">Launch "Guangzhou Math Champions" series featuring 30 students from key schools (e.g., Guangzhou No. 1 High School). Each video solves real city problems (e.g., "Optimizing Wuyang Market Vendor Profits") with math, aired on Douyin and Kuaishou during prime school hours. Partnerships with Guangzhou Metro for ads on 200+ train carriages during commute peaks.</w:t>
      </w:r>
    </w:p>
    <w:p>
      <w:pPr>
        <w:pStyle w:val="BodyText"/>
      </w:pPr>
      <w:r>
        <w:rPr>
          <w:bCs/>
          <w:b/>
        </w:rPr>
        <w:t xml:space="preserve">2. Institutional Partnerships:</w:t>
      </w:r>
      <w:r>
        <w:t xml:space="preserve"> </w:t>
      </w:r>
      <w:r>
        <w:t xml:space="preserve">Secure exclusive agreements with 50+ Guangzhou schools via the Education Bureau's "Digital Classroom Pilot Program." Offer free tier for Tier-1 schools (e.g., Yucai School) in exchange for case studies. Target all 37 universities through collaboration with Guangzhou University City Consortium.</w:t>
      </w:r>
    </w:p>
    <w:p>
      <w:pPr>
        <w:pStyle w:val="BodyText"/>
      </w:pPr>
      <w:r>
        <w:rPr>
          <w:bCs/>
          <w:b/>
        </w:rPr>
        <w:t xml:space="preserve">3. Corporate Integration:</w:t>
      </w:r>
      <w:r>
        <w:t xml:space="preserve"> </w:t>
      </w:r>
      <w:r>
        <w:t xml:space="preserve">Develop "Mathematician Pro" packages for Guangdong tech firms like Huawei's Guangzhou R&amp;D center and Xpeng Motors. Bundle with employee training programs addressing their specific needs (e.g., AI model optimization math). Leverage Guanxiang Group's corporate wellness program for cross-promotion.</w:t>
      </w:r>
    </w:p>
    <w:p>
      <w:pPr>
        <w:pStyle w:val="BodyText"/>
      </w:pPr>
      <w:r>
        <w:rPr>
          <w:bCs/>
          <w:b/>
        </w:rPr>
        <w:t xml:space="preserve">4. Community Building:</w:t>
      </w:r>
      <w:r>
        <w:t xml:space="preserve"> </w:t>
      </w:r>
      <w:r>
        <w:t xml:space="preserve">Establish "Mathematician Guangzhou Hubs" in key districts (Tianhe, Yuexiu) hosting weekly workshops at libraries. Partner with local businesses for "Math Coffee Talks" (e.g., analyzing cafe sales data at Dali Cafe). Use WeChat mini-programs for event registration and content sharing.</w:t>
      </w:r>
    </w:p>
    <w:bookmarkEnd w:id="24"/>
    <w:bookmarkStart w:id="25" w:name="Xbb0687fcf16f2e40a0f797a633479fcad9830e5"/>
    <w:p>
      <w:pPr>
        <w:pStyle w:val="Heading2"/>
      </w:pPr>
      <w:r>
        <w:t xml:space="preserve">Guangzhou-Specific 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 (Launch)</w:t>
            </w:r>
          </w:p>
        </w:tc>
        <w:tc>
          <w:tcPr/>
          <w:p>
            <w:pPr>
              <w:pStyle w:val="Compact"/>
              <w:jc w:val="left"/>
            </w:pPr>
            <w:r>
              <w:t xml:space="preserve">- Secure Education Bureau certification</w:t>
            </w:r>
            <w:r>
              <w:br/>
            </w:r>
            <w:r>
              <w:t xml:space="preserve">- Deploy free pilot in 5 Tianhe District schools</w:t>
            </w:r>
            <w:r>
              <w:br/>
            </w:r>
            <w:r>
              <w:t xml:space="preserve">- Launch Douyin campaign with "Guangzhou Math Heroes" video series</w:t>
            </w:r>
          </w:p>
        </w:tc>
      </w:tr>
      <w:tr>
        <w:tc>
          <w:tcPr/>
          <w:p>
            <w:pPr>
              <w:pStyle w:val="Compact"/>
              <w:jc w:val="left"/>
            </w:pPr>
            <w:r>
              <w:t xml:space="preserve">Q2 2024</w:t>
            </w:r>
          </w:p>
        </w:tc>
        <w:tc>
          <w:tcPr/>
          <w:p>
            <w:pPr>
              <w:pStyle w:val="Compact"/>
              <w:jc w:val="left"/>
            </w:pPr>
            <w:r>
              <w:t xml:space="preserve">- Onboard 30 Guangzhou universities</w:t>
            </w:r>
            <w:r>
              <w:br/>
            </w:r>
            <w:r>
              <w:t xml:space="preserve">- Partner with Huawei's Guangzhou campus for corporate trials</w:t>
            </w:r>
            <w:r>
              <w:br/>
            </w:r>
            <w:r>
              <w:t xml:space="preserve">- Host first "Math in Pearl River" community event at Canton Tower</w:t>
            </w:r>
          </w:p>
        </w:tc>
      </w:tr>
      <w:tr>
        <w:tc>
          <w:tcPr/>
          <w:p>
            <w:pPr>
              <w:pStyle w:val="Compact"/>
              <w:jc w:val="left"/>
            </w:pPr>
            <w:r>
              <w:t xml:space="preserve">Q3 2024</w:t>
            </w:r>
          </w:p>
        </w:tc>
        <w:tc>
          <w:tcPr/>
          <w:p>
            <w:pPr>
              <w:pStyle w:val="Compact"/>
              <w:jc w:val="left"/>
            </w:pPr>
            <w:r>
              <w:t xml:space="preserve">- Achieve 5,000 active users in Guangzhou</w:t>
            </w:r>
            <w:r>
              <w:br/>
            </w:r>
            <w:r>
              <w:t xml:space="preserve">- Release Guangdong-specific Gaokao practice packs</w:t>
            </w:r>
            <w:r>
              <w:br/>
            </w:r>
            <w:r>
              <w:t xml:space="preserve">- Expand to 15+ business districts (e.g., Baiyun, Panyu)</w:t>
            </w:r>
          </w:p>
        </w:tc>
      </w:tr>
      <w:tr>
        <w:tc>
          <w:tcPr/>
          <w:p>
            <w:pPr>
              <w:pStyle w:val="Compact"/>
              <w:jc w:val="left"/>
            </w:pPr>
            <w:r>
              <w:t xml:space="preserve">Q4 2024</w:t>
            </w:r>
          </w:p>
        </w:tc>
        <w:tc>
          <w:tcPr/>
          <w:p>
            <w:pPr>
              <w:pStyle w:val="Compact"/>
              <w:jc w:val="left"/>
            </w:pPr>
            <w:r>
              <w:t xml:space="preserve">- Target 15% market share in Guangzhou K-12 education tech</w:t>
            </w:r>
            <w:r>
              <w:br/>
            </w:r>
            <w:r>
              <w:t xml:space="preserve">- Publish "Guangzhou Math Competency Report"</w:t>
            </w:r>
            <w:r>
              <w:br/>
            </w:r>
            <w:r>
              <w:t xml:space="preserve">- Plan for nationwide expansion from Guangzhou base</w:t>
            </w:r>
          </w:p>
        </w:tc>
      </w:tr>
    </w:tbl>
    <w:bookmarkEnd w:id="25"/>
    <w:bookmarkStart w:id="26" w:name="budget-allocation-guangzhou-focus"/>
    <w:p>
      <w:pPr>
        <w:pStyle w:val="Heading2"/>
      </w:pPr>
      <w:r>
        <w:t xml:space="preserve">Budget Allocation: Guangzhou Focus</w:t>
      </w:r>
    </w:p>
    <w:p>
      <w:pPr>
        <w:pStyle w:val="FirstParagraph"/>
      </w:pPr>
      <w:r>
        <w:t xml:space="preserve">Total Budget: $1.8M (95% allocated to Guangzhou operations)</w:t>
      </w:r>
    </w:p>
    <w:p>
      <w:pPr>
        <w:numPr>
          <w:ilvl w:val="0"/>
          <w:numId w:val="1002"/>
        </w:numPr>
        <w:pStyle w:val="Compact"/>
      </w:pPr>
      <w:r>
        <w:t xml:space="preserve">Content Creation &amp; Localization: $600,000 (Guangdong curriculum adaptation, local influencer partnerships)</w:t>
      </w:r>
    </w:p>
    <w:p>
      <w:pPr>
        <w:numPr>
          <w:ilvl w:val="0"/>
          <w:numId w:val="1002"/>
        </w:numPr>
        <w:pStyle w:val="Compact"/>
      </w:pPr>
      <w:r>
        <w:t xml:space="preserve">Institutional Partnerships: $450,000 (School/University onboarding incentives)</w:t>
      </w:r>
    </w:p>
    <w:p>
      <w:pPr>
        <w:numPr>
          <w:ilvl w:val="0"/>
          <w:numId w:val="1002"/>
        </w:numPr>
        <w:pStyle w:val="Compact"/>
      </w:pPr>
      <w:r>
        <w:t xml:space="preserve">Community Events &amp; Hubs: $350,000 (25 district hubs + 8 monthly workshops)</w:t>
      </w:r>
    </w:p>
    <w:p>
      <w:pPr>
        <w:numPr>
          <w:ilvl w:val="0"/>
          <w:numId w:val="1002"/>
        </w:numPr>
        <w:pStyle w:val="Compact"/>
      </w:pPr>
      <w:r>
        <w:t xml:space="preserve">Digital Marketing: $325,000 (WeChat/Douyin targeted ads for Guangzhou demographics)</w:t>
      </w:r>
    </w:p>
    <w:p>
      <w:pPr>
        <w:numPr>
          <w:ilvl w:val="0"/>
          <w:numId w:val="1002"/>
        </w:numPr>
        <w:pStyle w:val="Compact"/>
      </w:pPr>
      <w:r>
        <w:t xml:space="preserve">Local Talent Acquisition: $75,000 (Hiring 12 Guangzhou-based educators and community managers)</w:t>
      </w:r>
    </w:p>
    <w:bookmarkEnd w:id="26"/>
    <w:bookmarkStart w:id="27" w:name="performance-metrics"/>
    <w:p>
      <w:pPr>
        <w:pStyle w:val="Heading2"/>
      </w:pPr>
      <w:r>
        <w:t xml:space="preserve">Performance Metrics</w:t>
      </w:r>
    </w:p>
    <w:p>
      <w:pPr>
        <w:pStyle w:val="FirstParagraph"/>
      </w:pPr>
      <w:r>
        <w:t xml:space="preserve">We measure success through Guangzhou-specific KPIs:</w:t>
      </w:r>
    </w:p>
    <w:p>
      <w:pPr>
        <w:numPr>
          <w:ilvl w:val="0"/>
          <w:numId w:val="1003"/>
        </w:numPr>
        <w:pStyle w:val="Compact"/>
      </w:pPr>
      <w:r>
        <w:rPr>
          <w:bCs/>
          <w:b/>
        </w:rPr>
        <w:t xml:space="preserve">Market Penetration:</w:t>
      </w:r>
      <w:r>
        <w:t xml:space="preserve"> </w:t>
      </w:r>
      <w:r>
        <w:t xml:space="preserve">50,000 active users in Guangzhou within Year 1</w:t>
      </w:r>
    </w:p>
    <w:p>
      <w:pPr>
        <w:numPr>
          <w:ilvl w:val="0"/>
          <w:numId w:val="1003"/>
        </w:numPr>
        <w:pStyle w:val="Compact"/>
      </w:pPr>
      <w:r>
        <w:rPr>
          <w:bCs/>
          <w:b/>
        </w:rPr>
        <w:t xml:space="preserve">Educational Impact:</w:t>
      </w:r>
      <w:r>
        <w:t xml:space="preserve"> </w:t>
      </w:r>
      <w:r>
        <w:t xml:space="preserve">35% average math score improvement for pilot schools (vs. national average of 18%)</w:t>
      </w:r>
    </w:p>
    <w:p>
      <w:pPr>
        <w:numPr>
          <w:ilvl w:val="0"/>
          <w:numId w:val="1003"/>
        </w:numPr>
        <w:pStyle w:val="Compact"/>
      </w:pPr>
      <w:r>
        <w:rPr>
          <w:bCs/>
          <w:b/>
        </w:rPr>
        <w:t xml:space="preserve">Brand Recall:</w:t>
      </w:r>
      <w:r>
        <w:t xml:space="preserve"> </w:t>
      </w:r>
      <w:r>
        <w:t xml:space="preserve">72% recognition in Guangzhou student demographics (measured via WeChat surveys)</w:t>
      </w:r>
    </w:p>
    <w:p>
      <w:pPr>
        <w:numPr>
          <w:ilvl w:val="0"/>
          <w:numId w:val="1003"/>
        </w:numPr>
        <w:pStyle w:val="Compact"/>
      </w:pPr>
      <w:r>
        <w:rPr>
          <w:bCs/>
          <w:b/>
        </w:rPr>
        <w:t xml:space="preserve">Sustainability:</w:t>
      </w:r>
      <w:r>
        <w:t xml:space="preserve"> </w:t>
      </w:r>
      <w:r>
        <w:t xml:space="preserve">45% repeat usage rate from corporate clients by Year 2</w:t>
      </w:r>
    </w:p>
    <w:bookmarkEnd w:id="27"/>
    <w:bookmarkStart w:id="28" w:name="conclusion-the-guangzhou-advantage"/>
    <w:p>
      <w:pPr>
        <w:pStyle w:val="Heading2"/>
      </w:pPr>
      <w:r>
        <w:t xml:space="preserve">Conclusion: The Guangzhou Advantage</w:t>
      </w:r>
    </w:p>
    <w:p>
      <w:pPr>
        <w:pStyle w:val="FirstParagraph"/>
      </w:pPr>
      <w:r>
        <w:t xml:space="preserve">This Marketing Plan positions "Mathematician" not merely as an educational tool, but as the essential mathematical infrastructure for Guangzhou's future. By embedding ourselves within Guangzhou's cultural fabric—using local case studies, collaborating with municipal education bodies, and addressing region-specific needs—we transcend generic edtech offerings. The city's strategic importance in China's innovation corridor makes this launch a catalyst for national expansion while fulfilling our mission to transform mathematical literacy across Guangdong Province. As the "Mathematician" platform becomes synonymous with Guangzhou's academic excellence, we will set the benchmark for localized educational technology worldwide.</w:t>
      </w:r>
    </w:p>
    <w:p>
      <w:pPr>
        <w:pStyle w:val="BodyText"/>
      </w:pPr>
      <w:r>
        <w:rPr>
          <w:bCs/>
          <w:b/>
        </w:rPr>
        <w:t xml:space="preserve">Document Date:</w:t>
      </w:r>
      <w:r>
        <w:t xml:space="preserve"> </w:t>
      </w:r>
      <w:r>
        <w:t xml:space="preserve">October 26, 2023</w:t>
      </w:r>
      <w:r>
        <w:br/>
      </w:r>
      <w:r>
        <w:rPr>
          <w:bCs/>
          <w:b/>
        </w:rPr>
        <w:t xml:space="preserve">Prepared For:</w:t>
      </w:r>
      <w:r>
        <w:t xml:space="preserve"> </w:t>
      </w:r>
      <w:r>
        <w:t xml:space="preserve">Guangzhou Education Bureau &amp; China National Innovation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in China Guangzhou</dc:title>
  <dc:creator/>
  <dc:language>en</dc:language>
  <cp:keywords/>
  <dcterms:created xsi:type="dcterms:W3CDTF">2025-12-12T19:43:11Z</dcterms:created>
  <dcterms:modified xsi:type="dcterms:W3CDTF">2025-12-12T19:43:11Z</dcterms:modified>
</cp:coreProperties>
</file>

<file path=docProps/custom.xml><?xml version="1.0" encoding="utf-8"?>
<Properties xmlns="http://schemas.openxmlformats.org/officeDocument/2006/custom-properties" xmlns:vt="http://schemas.openxmlformats.org/officeDocument/2006/docPropsVTypes"/>
</file>