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Mathematical</w:t>
      </w:r>
      <w:r>
        <w:t xml:space="preserve"> </w:t>
      </w:r>
      <w:r>
        <w:t xml:space="preserve">Education</w:t>
      </w:r>
      <w:r>
        <w:t xml:space="preserve"> </w:t>
      </w:r>
      <w:r>
        <w:t xml:space="preserve">Services</w:t>
      </w:r>
      <w:r>
        <w:t xml:space="preserve"> </w:t>
      </w:r>
      <w:r>
        <w:t xml:space="preserve">in</w:t>
      </w:r>
      <w:r>
        <w:t xml:space="preserve"> </w:t>
      </w:r>
      <w:r>
        <w:t xml:space="preserve">Paris</w:t>
      </w:r>
    </w:p>
    <w:bookmarkStart w:id="29" w:name="X9c250205607e0e61d49c7d9cb54b2684379e60a"/>
    <w:p>
      <w:pPr>
        <w:pStyle w:val="Heading1"/>
      </w:pPr>
      <w:r>
        <w:t xml:space="preserve">Marketing Plan for Advanced Mathematical Education &amp; Research Services in Paris, France</w:t>
      </w:r>
    </w:p>
    <w:bookmarkStart w:id="20" w:name="executive-summary"/>
    <w:p>
      <w:pPr>
        <w:pStyle w:val="Heading2"/>
      </w:pPr>
      <w:r>
        <w:t xml:space="preserve">Executive Summary</w:t>
      </w:r>
    </w:p>
    <w:p>
      <w:pPr>
        <w:pStyle w:val="FirstParagraph"/>
      </w:pPr>
      <w:r>
        <w:t xml:space="preserve">This comprehensive Marketing Plan outlines strategies to position leading mathematical education and research services as indispensable assets within the academic and professional ecosystem of Paris, France. Recognizing Paris’ global standing as a hub for intellectual innovation—home to institutions like Sorbonne University, École Normale Supérieure, and CNRS—we propose a targeted campaign to elevate the visibility, accessibility, and perceived value of advanced mathematical training for students, professionals, and institutions across the capital. The plan addresses the urgent need to bridge theoretical expertise with real-world applications in France’s thriving tech sector (e.g., AI startups in Paris’ "La Défense" district) while honoring Paris’ legacy as a birthplace of mathematical giants like Henri Poincaré.</w:t>
      </w:r>
    </w:p>
    <w:bookmarkEnd w:id="20"/>
    <w:bookmarkStart w:id="21" w:name="Xf305ac9b6837a26ae3b7ffc68e2c14d7e5e21b5"/>
    <w:p>
      <w:pPr>
        <w:pStyle w:val="Heading2"/>
      </w:pPr>
      <w:r>
        <w:t xml:space="preserve">Market Analysis: The Parisian Mathematical Landscape</w:t>
      </w:r>
    </w:p>
    <w:p>
      <w:pPr>
        <w:pStyle w:val="FirstParagraph"/>
      </w:pPr>
      <w:r>
        <w:t xml:space="preserve">Paris represents a unique confluence of academic prestige and industrial demand. Over 68% of France’s top-tier mathematics researchers are based in the Île-de-France region, with Paris housing 35% of national STEM graduate programs (INSEE, 2023). However, a persistent skills gap exists: 74% of French tech firms cite insufficient mathematical literacy among junior hires (French Tech Report, 2024). This creates a critical opportunity for specialized educational services that align with Paris’ dual identity as both an academic sanctuary and a global business nexus. The target market includes:</w:t>
      </w:r>
    </w:p>
    <w:p>
      <w:pPr>
        <w:numPr>
          <w:ilvl w:val="0"/>
          <w:numId w:val="1001"/>
        </w:numPr>
        <w:pStyle w:val="Compact"/>
      </w:pPr>
      <w:r>
        <w:rPr>
          <w:bCs/>
          <w:b/>
        </w:rPr>
        <w:t xml:space="preserve">Academic Institutions:</w:t>
      </w:r>
      <w:r>
        <w:t xml:space="preserve"> </w:t>
      </w:r>
      <w:r>
        <w:t xml:space="preserve">Universities and Grandes Écoles seeking to enhance curricula with industry-aligned modules.</w:t>
      </w:r>
    </w:p>
    <w:p>
      <w:pPr>
        <w:numPr>
          <w:ilvl w:val="0"/>
          <w:numId w:val="1001"/>
        </w:numPr>
        <w:pStyle w:val="Compact"/>
      </w:pPr>
      <w:r>
        <w:rPr>
          <w:bCs/>
          <w:b/>
        </w:rPr>
        <w:t xml:space="preserve">Corporate Sector:</w:t>
      </w:r>
      <w:r>
        <w:t xml:space="preserve"> </w:t>
      </w:r>
      <w:r>
        <w:t xml:space="preserve">Firms in AI, fintech (e.g., Revolut, HelloFresh), and aerospace needing upskilled talent.</w:t>
      </w:r>
    </w:p>
    <w:p>
      <w:pPr>
        <w:numPr>
          <w:ilvl w:val="0"/>
          <w:numId w:val="1001"/>
        </w:numPr>
        <w:pStyle w:val="Compact"/>
      </w:pPr>
      <w:r>
        <w:rPr>
          <w:bCs/>
          <w:b/>
        </w:rPr>
        <w:t xml:space="preserve">High-Achieving Students:</w:t>
      </w:r>
      <w:r>
        <w:t xml:space="preserve"> </w:t>
      </w:r>
      <w:r>
        <w:t xml:space="preserve">200,000+ students enrolled in STEM fields across Parisian universities annually.</w:t>
      </w:r>
    </w:p>
    <w:bookmarkEnd w:id="21"/>
    <w:bookmarkStart w:id="22" w:name="Xca46b6ee3f9263b617dce955171af7685534c6e"/>
    <w:p>
      <w:pPr>
        <w:pStyle w:val="Heading2"/>
      </w:pPr>
      <w:r>
        <w:t xml:space="preserve">Target Audience: Defining the Parisian Mathematician</w:t>
      </w:r>
    </w:p>
    <w:p>
      <w:pPr>
        <w:pStyle w:val="FirstParagraph"/>
      </w:pPr>
      <w:r>
        <w:t xml:space="preserve">We segment our audience into three distinct yet interconnected groups, each requiring tailored value propositions:</w:t>
      </w:r>
    </w:p>
    <w:p>
      <w:pPr>
        <w:numPr>
          <w:ilvl w:val="0"/>
          <w:numId w:val="1002"/>
        </w:numPr>
        <w:pStyle w:val="Compact"/>
      </w:pPr>
      <w:r>
        <w:rPr>
          <w:bCs/>
          <w:b/>
        </w:rPr>
        <w:t xml:space="preserve">The Aspiring Mathematician:</w:t>
      </w:r>
      <w:r>
        <w:t xml:space="preserve"> </w:t>
      </w:r>
      <w:r>
        <w:t xml:space="preserve">Undergraduates and Master’s students at École Polytechnique or Paris-Saclay University seeking mentorship to transition from theory to applied problem-solving in Paris’ startup ecosystem.</w:t>
      </w:r>
    </w:p>
    <w:p>
      <w:pPr>
        <w:numPr>
          <w:ilvl w:val="0"/>
          <w:numId w:val="1002"/>
        </w:numPr>
        <w:pStyle w:val="Compact"/>
      </w:pPr>
      <w:r>
        <w:rPr>
          <w:bCs/>
          <w:b/>
        </w:rPr>
        <w:t xml:space="preserve">The Corporate Mathematician:</w:t>
      </w:r>
      <w:r>
        <w:t xml:space="preserve"> </w:t>
      </w:r>
      <w:r>
        <w:t xml:space="preserve">Data scientists and engineers at French corporations requiring advanced training in machine learning mathematics—often constrained by legacy educational frameworks.</w:t>
      </w:r>
    </w:p>
    <w:p>
      <w:pPr>
        <w:numPr>
          <w:ilvl w:val="0"/>
          <w:numId w:val="1002"/>
        </w:numPr>
        <w:pStyle w:val="Compact"/>
      </w:pPr>
      <w:r>
        <w:rPr>
          <w:bCs/>
          <w:b/>
        </w:rPr>
        <w:t xml:space="preserve">The Institutional Mathematician:</w:t>
      </w:r>
      <w:r>
        <w:t xml:space="preserve"> </w:t>
      </w:r>
      <w:r>
        <w:t xml:space="preserve">Faculty at Parisian institutions needing innovative pedagogical tools to modernize curricula per France’s 2025 National Education Strategy.</w:t>
      </w:r>
    </w:p>
    <w:p>
      <w:pPr>
        <w:pStyle w:val="FirstParagraph"/>
      </w:pPr>
      <w:r>
        <w:t xml:space="preserve">Crucially, all segments share a common language: the prestige associated with mathematical excellence in French academia. Our messaging leverages this cultural capital while emphasizing tangible outcomes—e.g., "Transform your theoretical rigor into Parisian industry impact."</w:t>
      </w:r>
    </w:p>
    <w:bookmarkEnd w:id="22"/>
    <w:bookmarkStart w:id="26" w:name="marketing-strategies-the-paris-advantage"/>
    <w:p>
      <w:pPr>
        <w:pStyle w:val="Heading2"/>
      </w:pPr>
      <w:r>
        <w:t xml:space="preserve">Marketing Strategies: The Paris Advantage</w:t>
      </w:r>
    </w:p>
    <w:p>
      <w:pPr>
        <w:pStyle w:val="FirstParagraph"/>
      </w:pPr>
      <w:r>
        <w:t xml:space="preserve">Our integrated strategy capitalizes on Paris’ unique ecosystem through three pillars:</w:t>
      </w:r>
    </w:p>
    <w:bookmarkStart w:id="23" w:name="hyper-localized-partnerships"/>
    <w:p>
      <w:pPr>
        <w:pStyle w:val="Heading3"/>
      </w:pPr>
      <w:r>
        <w:t xml:space="preserve">1. Hyper-Localized Partnerships</w:t>
      </w:r>
    </w:p>
    <w:p>
      <w:pPr>
        <w:pStyle w:val="FirstParagraph"/>
      </w:pPr>
      <w:r>
        <w:t xml:space="preserve">Collaborate with key Paris institutions to embed services into existing structures:</w:t>
      </w:r>
    </w:p>
    <w:p>
      <w:pPr>
        <w:numPr>
          <w:ilvl w:val="0"/>
          <w:numId w:val="1003"/>
        </w:numPr>
        <w:pStyle w:val="Compact"/>
      </w:pPr>
      <w:r>
        <w:t xml:space="preserve">Co-develop "Mathematics for Innovation" bootcamps with École des Ponts ParisTech, featuring guest lectures by renowned mathematicians like Cédric Villani (Fields Medalist, Institut Henri Poincaré).</w:t>
      </w:r>
    </w:p>
    <w:p>
      <w:pPr>
        <w:numPr>
          <w:ilvl w:val="0"/>
          <w:numId w:val="1003"/>
        </w:numPr>
        <w:pStyle w:val="Compact"/>
      </w:pPr>
      <w:r>
        <w:t xml:space="preserve">Secure endorsements from the French Mathematical Society (SMF), positioning services as "SMF-Approved Training," a critical trust signal in academic circles.</w:t>
      </w:r>
    </w:p>
    <w:p>
      <w:pPr>
        <w:numPr>
          <w:ilvl w:val="0"/>
          <w:numId w:val="1003"/>
        </w:numPr>
        <w:pStyle w:val="Compact"/>
      </w:pPr>
      <w:r>
        <w:t xml:space="preserve">Launch a subsidized program for students at Sorbonne Université through the Île-de-France regional fund, directly addressing Paris’ educational equity goals.</w:t>
      </w:r>
    </w:p>
    <w:bookmarkEnd w:id="23"/>
    <w:bookmarkStart w:id="24" w:name="Xb51d1243fdf7202afa60934eb32309abccb3b26"/>
    <w:p>
      <w:pPr>
        <w:pStyle w:val="Heading3"/>
      </w:pPr>
      <w:r>
        <w:t xml:space="preserve">2. Digital Storytelling with French Cultural Nuance</w:t>
      </w:r>
    </w:p>
    <w:p>
      <w:pPr>
        <w:pStyle w:val="FirstParagraph"/>
      </w:pPr>
      <w:r>
        <w:t xml:space="preserve">Avoid generic content—instead, create narratives rooted in Parisian identity:</w:t>
      </w:r>
    </w:p>
    <w:p>
      <w:pPr>
        <w:numPr>
          <w:ilvl w:val="0"/>
          <w:numId w:val="1004"/>
        </w:numPr>
        <w:pStyle w:val="Compact"/>
      </w:pPr>
      <w:r>
        <w:t xml:space="preserve">Video series "Mathematicians of Paris": Short documentaries profiling local experts (e.g., a statistician at Airbus using Bayesian models for aircraft safety), shot on location at iconic sites like the Panthéon.</w:t>
      </w:r>
    </w:p>
    <w:p>
      <w:pPr>
        <w:numPr>
          <w:ilvl w:val="0"/>
          <w:numId w:val="1004"/>
        </w:numPr>
        <w:pStyle w:val="Compact"/>
      </w:pPr>
      <w:r>
        <w:t xml:space="preserve">Instagram/LinkedIn campaigns featuring French mathematicians’ quotes in bilingual (French/English) visual formats, tapping into Paris’ aesthetic appeal—e.g., "In Paris, equations are written with grace" over a photo of a chalkboard at Café de la Mairie.</w:t>
      </w:r>
    </w:p>
    <w:p>
      <w:pPr>
        <w:numPr>
          <w:ilvl w:val="0"/>
          <w:numId w:val="1004"/>
        </w:numPr>
        <w:pStyle w:val="Compact"/>
      </w:pPr>
      <w:r>
        <w:t xml:space="preserve">SEO optimization targeting high-intent keywords: "mathematician training Paris," "advanced math courses France," "professional math upskilling Île-de-France."</w:t>
      </w:r>
    </w:p>
    <w:bookmarkEnd w:id="24"/>
    <w:bookmarkStart w:id="25" w:name="X85745584800824c043d5ee248274cab540dd2a5"/>
    <w:p>
      <w:pPr>
        <w:pStyle w:val="Heading3"/>
      </w:pPr>
      <w:r>
        <w:t xml:space="preserve">3. Experiential Events in the Parisian Context</w:t>
      </w:r>
    </w:p>
    <w:p>
      <w:pPr>
        <w:pStyle w:val="FirstParagraph"/>
      </w:pPr>
      <w:r>
        <w:t xml:space="preserve">Create immersive touchpoints that embody the city’s spirit:</w:t>
      </w:r>
    </w:p>
    <w:p>
      <w:pPr>
        <w:numPr>
          <w:ilvl w:val="0"/>
          <w:numId w:val="1005"/>
        </w:numPr>
        <w:pStyle w:val="Compact"/>
      </w:pPr>
      <w:r>
        <w:t xml:space="preserve">Host "Paris Math Nights" at Le Centr’A, a historic venue near Place de la Sorbonne, featuring interactive problem-solving sessions with industry partners (e.g., solving logistics puzzles for Uber Paris).</w:t>
      </w:r>
    </w:p>
    <w:p>
      <w:pPr>
        <w:numPr>
          <w:ilvl w:val="0"/>
          <w:numId w:val="1005"/>
        </w:numPr>
        <w:pStyle w:val="Compact"/>
      </w:pPr>
      <w:r>
        <w:t xml:space="preserve">Organize an annual "Poincaré Summit" in collaboration with CNRS, inviting global mathematicians to present breakthroughs in Parisian labs—positioning the event as France’s premier intellectual gathering.</w:t>
      </w:r>
    </w:p>
    <w:bookmarkEnd w:id="25"/>
    <w:bookmarkEnd w:id="26"/>
    <w:bookmarkStart w:id="27" w:name="implementation-timeline-kpis"/>
    <w:p>
      <w:pPr>
        <w:pStyle w:val="Heading2"/>
      </w:pPr>
      <w:r>
        <w:t xml:space="preserve">Implementation Timeline &amp; KPIs</w:t>
      </w:r>
    </w:p>
    <w:p>
      <w:pPr>
        <w:pStyle w:val="FirstParagraph"/>
      </w:pPr>
      <w:r>
        <w:rPr>
          <w:bCs/>
          <w:b/>
        </w:rPr>
        <w:t xml:space="preserve">Months 1–3:</w:t>
      </w:r>
      <w:r>
        <w:t xml:space="preserve"> </w:t>
      </w:r>
      <w:r>
        <w:t xml:space="preserve">Finalize partnerships with 3+ Paris institutions; launch digital campaign.</w:t>
      </w:r>
      <w:r>
        <w:t xml:space="preserve"> </w:t>
      </w:r>
      <w:r>
        <w:rPr>
          <w:bCs/>
          <w:b/>
        </w:rPr>
        <w:t xml:space="preserve">KPIs:</w:t>
      </w:r>
      <w:r>
        <w:t xml:space="preserve"> </w:t>
      </w:r>
      <w:r>
        <w:t xml:space="preserve">40% increase in website traffic from Paris IP addresses; 15 partnership agreements signed.</w:t>
      </w:r>
    </w:p>
    <w:p>
      <w:pPr>
        <w:pStyle w:val="BodyText"/>
      </w:pPr>
      <w:r>
        <w:rPr>
          <w:bCs/>
          <w:b/>
        </w:rPr>
        <w:t xml:space="preserve">Months 4–6:</w:t>
      </w:r>
      <w:r>
        <w:t xml:space="preserve"> </w:t>
      </w:r>
      <w:r>
        <w:t xml:space="preserve">Roll out first cohort of "Paris Math Nights"; deploy SMF-verified course modules.</w:t>
      </w:r>
      <w:r>
        <w:t xml:space="preserve"> </w:t>
      </w:r>
      <w:r>
        <w:rPr>
          <w:bCs/>
          <w:b/>
        </w:rPr>
        <w:t xml:space="preserve">KPIs:</w:t>
      </w:r>
      <w:r>
        <w:t xml:space="preserve"> </w:t>
      </w:r>
      <w:r>
        <w:t xml:space="preserve">250+ student registrations; 70% corporate client satisfaction score.</w:t>
      </w:r>
    </w:p>
    <w:p>
      <w:pPr>
        <w:pStyle w:val="BodyText"/>
      </w:pPr>
      <w:r>
        <w:rPr>
          <w:bCs/>
          <w:b/>
        </w:rPr>
        <w:t xml:space="preserve">Year 1 Goal:</w:t>
      </w:r>
      <w:r>
        <w:t xml:space="preserve"> </w:t>
      </w:r>
      <w:r>
        <w:t xml:space="preserve">Capture 30% of Paris-based professional mathematics upskilling demand, establishing our services as the benchmark for "mathematician development in France."</w:t>
      </w:r>
    </w:p>
    <w:bookmarkEnd w:id="27"/>
    <w:bookmarkStart w:id="28" w:name="conclusion-mathematics-as-a-french-asset"/>
    <w:p>
      <w:pPr>
        <w:pStyle w:val="Heading2"/>
      </w:pPr>
      <w:r>
        <w:t xml:space="preserve">Conclusion: Mathematics as a French Asset</w:t>
      </w:r>
    </w:p>
    <w:p>
      <w:pPr>
        <w:pStyle w:val="FirstParagraph"/>
      </w:pPr>
      <w:r>
        <w:t xml:space="preserve">This Marketing Plan transcends generic promotion—it positions advanced mathematical expertise not merely as a skill set, but as an intrinsic component of Paris’ cultural and economic identity. By embedding our services within the city’s academic fabric, leveraging its global prestige, and addressing France’s strategic need for STEM talent, we ensure that every interaction with "Mathematician" services resonates with Paris’ legacy of intellectual excellence. The plan delivers measurable impact through hyper-relevant engagement in France Paris, transforming how mathematicians are trained, perceived, and valued within the city where mathematical genius has always thrived.</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Mathematical Education Services in Paris</dc:title>
  <dc:creator/>
  <dc:language>en</dc:language>
  <cp:keywords/>
  <dcterms:created xsi:type="dcterms:W3CDTF">2025-12-13T21:04:02Z</dcterms:created>
  <dcterms:modified xsi:type="dcterms:W3CDTF">2025-12-13T21:04:02Z</dcterms:modified>
</cp:coreProperties>
</file>

<file path=docProps/custom.xml><?xml version="1.0" encoding="utf-8"?>
<Properties xmlns="http://schemas.openxmlformats.org/officeDocument/2006/custom-properties" xmlns:vt="http://schemas.openxmlformats.org/officeDocument/2006/docPropsVTypes"/>
</file>