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w:t>
      </w:r>
      <w:r>
        <w:t xml:space="preserve"> </w:t>
      </w:r>
      <w:r>
        <w:t xml:space="preserve">Berlin,</w:t>
      </w:r>
      <w:r>
        <w:t xml:space="preserve"> </w:t>
      </w:r>
      <w:r>
        <w:t xml:space="preserve">Germany</w:t>
      </w:r>
    </w:p>
    <w:bookmarkStart w:id="33" w:name="X4c091eec11976070eeecc962adddfbb4d9b7430"/>
    <w:p>
      <w:pPr>
        <w:pStyle w:val="Heading1"/>
      </w:pPr>
      <w:r>
        <w:t xml:space="preserve">Marketing Plan: "Mathematician" - Elevating Mathematical Excellence in Berlin, Germany</w:t>
      </w:r>
    </w:p>
    <w:bookmarkStart w:id="20" w:name="executive-summary"/>
    <w:p>
      <w:pPr>
        <w:pStyle w:val="Heading2"/>
      </w:pPr>
      <w:r>
        <w:t xml:space="preserve">Executive Summary</w:t>
      </w:r>
    </w:p>
    <w:p>
      <w:pPr>
        <w:pStyle w:val="FirstParagraph"/>
      </w:pPr>
      <w:r>
        <w:t xml:space="preserve">This marketing plan outlines the strategic entry and growth of "Mathematician" – a premium professional consultancy platform connecting elite mathematicians with Berlin's innovation ecosystem. Targeting Germany's capital as the epicenter of European STEM talent, this initiative addresses Berlin's critical shortage of applied mathematics expertise in high-growth sectors (AI, fintech, engineering). With 42% of Berlin-based tech startups citing mathematical skill gaps as operational barriers (Berlin Startup Monitor 2023), "Mathematician" positions itself as the indispensable bridge between theoretical excellence and industrial application. Our launch targets €1.2M in first-year revenue through strategic partnerships with Berlin's academic and corporate networks.</w:t>
      </w:r>
    </w:p>
    <w:bookmarkEnd w:id="20"/>
    <w:bookmarkStart w:id="21" w:name="Xc7a59a579ebb7652f0189447fb5d02caf9a59c6"/>
    <w:p>
      <w:pPr>
        <w:pStyle w:val="Heading2"/>
      </w:pPr>
      <w:r>
        <w:t xml:space="preserve">Market Analysis: Berlin &amp; German Mathematical Landscape</w:t>
      </w:r>
    </w:p>
    <w:p>
      <w:pPr>
        <w:pStyle w:val="FirstParagraph"/>
      </w:pPr>
      <w:r>
        <w:t xml:space="preserve">Berlin's mathematical ecosystem presents unique opportunities: 4 universities (FU Berlin, HU Berlin, TU Berlin) produce 1,800 math graduates annually but face a 35% mismatch between academic training and industry needs (BMBF 2023). Germany ranks #1 in Europe for STEM education quality but lags in translating theoretical expertise to commercial solutions. Crucially, Berlin's status as the EU's fastest-growing startup hub (87,000+ startups) creates urgent demand for specialized mathematical talent. Competitors like "MathConsult" focus on generic services, while Berlin-specific platforms such as "Berlin Math Network" lack scalable B2B infrastructure. This gap positions "Mathematician" to become Germany's premier solution.</w:t>
      </w:r>
    </w:p>
    <w:bookmarkEnd w:id="21"/>
    <w:bookmarkStart w:id="22" w:name="target-audience"/>
    <w:p>
      <w:pPr>
        <w:pStyle w:val="Heading2"/>
      </w:pPr>
      <w:r>
        <w:t xml:space="preserve">Target Audience</w:t>
      </w:r>
    </w:p>
    <w:p>
      <w:pPr>
        <w:numPr>
          <w:ilvl w:val="0"/>
          <w:numId w:val="1001"/>
        </w:numPr>
        <w:pStyle w:val="Compact"/>
      </w:pPr>
      <w:r>
        <w:rPr>
          <w:bCs/>
          <w:b/>
        </w:rPr>
        <w:t xml:space="preserve">Primary (Demand Side):</w:t>
      </w:r>
      <w:r>
        <w:t xml:space="preserve"> </w:t>
      </w:r>
      <w:r>
        <w:t xml:space="preserve">Berlin-based AI/ML startups (e.g., Nublum, DeepL), engineering firms (Siemens Mobility), and financial institutions (Deutsche Bank quant teams) needing on-demand mathematical expertise for R&amp;D projects.</w:t>
      </w:r>
    </w:p>
    <w:p>
      <w:pPr>
        <w:numPr>
          <w:ilvl w:val="0"/>
          <w:numId w:val="1001"/>
        </w:numPr>
        <w:pStyle w:val="Compact"/>
      </w:pPr>
      <w:r>
        <w:rPr>
          <w:bCs/>
          <w:b/>
        </w:rPr>
        <w:t xml:space="preserve">Secondary (Supply Side):</w:t>
      </w:r>
      <w:r>
        <w:t xml:space="preserve"> </w:t>
      </w:r>
      <w:r>
        <w:t xml:space="preserve">PhD mathematicians at Berlin universities, postdocs at Max Planck Institutes, and freelance researchers seeking high-impact consulting roles with competitive compensation (&gt;€80/hr).</w:t>
      </w:r>
    </w:p>
    <w:p>
      <w:pPr>
        <w:pStyle w:val="FirstParagraph"/>
      </w:pPr>
      <w:r>
        <w:t xml:space="preserve">Psychographic insight: Berlin's tech community values "intellectual prestige" – our positioning emphasizes collaboration with top-tier researchers rather than transactional service. German corporate culture prioritizes precision and long-term partnerships, requiring a trust-based approach.</w:t>
      </w:r>
    </w:p>
    <w:bookmarkEnd w:id="22"/>
    <w:bookmarkStart w:id="23" w:name="marketing-objectives-berlin-focus"/>
    <w:p>
      <w:pPr>
        <w:pStyle w:val="Heading2"/>
      </w:pPr>
      <w:r>
        <w:t xml:space="preserve">Marketing Objectives (Berlin Focus)</w:t>
      </w:r>
    </w:p>
    <w:p>
      <w:pPr>
        <w:numPr>
          <w:ilvl w:val="0"/>
          <w:numId w:val="1002"/>
        </w:numPr>
        <w:pStyle w:val="Compact"/>
      </w:pPr>
      <w:r>
        <w:t xml:space="preserve">Acquire 150 Berlin-based B2B clients within 18 months (target: 30% of Tier-1 tech startups in Berlin).</w:t>
      </w:r>
    </w:p>
    <w:p>
      <w:pPr>
        <w:numPr>
          <w:ilvl w:val="0"/>
          <w:numId w:val="1002"/>
        </w:numPr>
        <w:pStyle w:val="Compact"/>
      </w:pPr>
      <w:r>
        <w:t xml:space="preserve">Capture 45% market share among specialized math consulting platforms in Germany by Year 3.</w:t>
      </w:r>
    </w:p>
    <w:p>
      <w:pPr>
        <w:numPr>
          <w:ilvl w:val="0"/>
          <w:numId w:val="1002"/>
        </w:numPr>
        <w:pStyle w:val="Compact"/>
      </w:pPr>
      <w:r>
        <w:t xml:space="preserve">Build a community of 500+ verified mathematicians in Berlin by Q4 2025.</w:t>
      </w:r>
    </w:p>
    <w:bookmarkEnd w:id="23"/>
    <w:bookmarkStart w:id="28" w:name="Xeef14934faf698266f7ea52aab58e8fbfac37f2"/>
    <w:p>
      <w:pPr>
        <w:pStyle w:val="Heading2"/>
      </w:pPr>
      <w:r>
        <w:t xml:space="preserve">Strategic Marketing Mix: The "Mathematician" Framework</w:t>
      </w:r>
    </w:p>
    <w:bookmarkStart w:id="24" w:name="product-strategy-berlin-adapted"/>
    <w:p>
      <w:pPr>
        <w:pStyle w:val="Heading3"/>
      </w:pPr>
      <w:r>
        <w:t xml:space="preserve">1. Product Strategy (Berlin-Adapted)</w:t>
      </w:r>
    </w:p>
    <w:p>
      <w:pPr>
        <w:pStyle w:val="FirstParagraph"/>
      </w:pPr>
      <w:r>
        <w:t xml:space="preserve">"Mathematician" offers tiered solutions co-designed with Berlin stakeholders:</w:t>
      </w:r>
    </w:p>
    <w:p>
      <w:pPr>
        <w:numPr>
          <w:ilvl w:val="0"/>
          <w:numId w:val="1003"/>
        </w:numPr>
        <w:pStyle w:val="Compact"/>
      </w:pPr>
      <w:r>
        <w:rPr>
          <w:iCs/>
          <w:i/>
        </w:rPr>
        <w:t xml:space="preserve">Core Platform:</w:t>
      </w:r>
      <w:r>
        <w:t xml:space="preserve"> </w:t>
      </w:r>
      <w:r>
        <w:t xml:space="preserve">AI-matched consultancy matching (prioritizing Berlin universities for talent pool).</w:t>
      </w:r>
    </w:p>
    <w:p>
      <w:pPr>
        <w:numPr>
          <w:ilvl w:val="0"/>
          <w:numId w:val="1003"/>
        </w:numPr>
        <w:pStyle w:val="Compact"/>
      </w:pPr>
      <w:r>
        <w:rPr>
          <w:iCs/>
          <w:i/>
        </w:rPr>
        <w:t xml:space="preserve">Berlin-Exclusive Add-Ons:</w:t>
      </w:r>
      <w:r>
        <w:t xml:space="preserve"> </w:t>
      </w:r>
      <w:r>
        <w:t xml:space="preserve">"Berlin Innovation Pass" (free access to Fraunhofer Institute labs), German-language technical documentation services.</w:t>
      </w:r>
    </w:p>
    <w:p>
      <w:pPr>
        <w:numPr>
          <w:ilvl w:val="0"/>
          <w:numId w:val="1003"/>
        </w:numPr>
        <w:pStyle w:val="Compact"/>
      </w:pPr>
      <w:r>
        <w:rPr>
          <w:iCs/>
          <w:i/>
        </w:rPr>
        <w:t xml:space="preserve">Ethical Differentiation:</w:t>
      </w:r>
      <w:r>
        <w:t xml:space="preserve"> </w:t>
      </w:r>
      <w:r>
        <w:t xml:space="preserve">10% revenue share with Berlin Math Education Fund for school outreach programs – aligning with Germany's STEM equity goals.</w:t>
      </w:r>
    </w:p>
    <w:bookmarkEnd w:id="24"/>
    <w:bookmarkStart w:id="25" w:name="pricing-germany-specific"/>
    <w:p>
      <w:pPr>
        <w:pStyle w:val="Heading3"/>
      </w:pPr>
      <w:r>
        <w:t xml:space="preserve">2. Pricing (Germany-Specific)</w:t>
      </w:r>
    </w:p>
    <w:p>
      <w:pPr>
        <w:pStyle w:val="FirstParagraph"/>
      </w:pPr>
      <w:r>
        <w:t xml:space="preserve">Pricing reflects Berlin's premium talent market while ensuring competitiveness:</w:t>
      </w:r>
    </w:p>
    <w:p>
      <w:pPr>
        <w:numPr>
          <w:ilvl w:val="0"/>
          <w:numId w:val="1004"/>
        </w:numPr>
        <w:pStyle w:val="Compact"/>
      </w:pPr>
      <w:r>
        <w:rPr>
          <w:iCs/>
          <w:i/>
        </w:rPr>
        <w:t xml:space="preserve">Entry Tier:</w:t>
      </w:r>
      <w:r>
        <w:t xml:space="preserve"> </w:t>
      </w:r>
      <w:r>
        <w:t xml:space="preserve">€450/hr (for startups; 15% below market average for early adopters)</w:t>
      </w:r>
    </w:p>
    <w:p>
      <w:pPr>
        <w:numPr>
          <w:ilvl w:val="0"/>
          <w:numId w:val="1004"/>
        </w:numPr>
        <w:pStyle w:val="Compact"/>
      </w:pPr>
      <w:r>
        <w:rPr>
          <w:iCs/>
          <w:i/>
        </w:rPr>
        <w:t xml:space="preserve">Enterprise Tier:</w:t>
      </w:r>
      <w:r>
        <w:t xml:space="preserve"> </w:t>
      </w:r>
      <w:r>
        <w:t xml:space="preserve">Custom contracts with volume discounts (e.g., €380/hr for 20+ hours/month) – matching Berlin's enterprise procurement norms.</w:t>
      </w:r>
    </w:p>
    <w:p>
      <w:pPr>
        <w:numPr>
          <w:ilvl w:val="0"/>
          <w:numId w:val="1004"/>
        </w:numPr>
        <w:pStyle w:val="Compact"/>
      </w:pPr>
      <w:r>
        <w:rPr>
          <w:iCs/>
          <w:i/>
        </w:rPr>
        <w:t xml:space="preserve">All-inclusive:</w:t>
      </w:r>
      <w:r>
        <w:t xml:space="preserve"> </w:t>
      </w:r>
      <w:r>
        <w:t xml:space="preserve">Zero hidden fees (critical for German corporate transparency standards).</w:t>
      </w:r>
    </w:p>
    <w:bookmarkEnd w:id="25"/>
    <w:bookmarkStart w:id="26" w:name="place-distribution-berlin-centric"/>
    <w:p>
      <w:pPr>
        <w:pStyle w:val="Heading3"/>
      </w:pPr>
      <w:r>
        <w:t xml:space="preserve">3. Place &amp; Distribution (Berlin-Centric)</w:t>
      </w:r>
    </w:p>
    <w:p>
      <w:pPr>
        <w:pStyle w:val="FirstParagraph"/>
      </w:pPr>
      <w:r>
        <w:t xml:space="preserve">Leveraging Berlin's physical and digital infrastructure:</w:t>
      </w:r>
    </w:p>
    <w:p>
      <w:pPr>
        <w:numPr>
          <w:ilvl w:val="0"/>
          <w:numId w:val="1005"/>
        </w:numPr>
        <w:pStyle w:val="Compact"/>
      </w:pPr>
      <w:r>
        <w:rPr>
          <w:iCs/>
          <w:i/>
        </w:rPr>
        <w:t xml:space="preserve">Physical Hubs:</w:t>
      </w:r>
      <w:r>
        <w:t xml:space="preserve"> </w:t>
      </w:r>
      <w:r>
        <w:t xml:space="preserve">Pop-up offices at Berlin Tech Week, TU Berlin innovation labs, and co-working spaces (WeWork Alexanderplatz).</w:t>
      </w:r>
    </w:p>
    <w:p>
      <w:pPr>
        <w:numPr>
          <w:ilvl w:val="0"/>
          <w:numId w:val="1005"/>
        </w:numPr>
        <w:pStyle w:val="Compact"/>
      </w:pPr>
      <w:r>
        <w:rPr>
          <w:iCs/>
          <w:i/>
        </w:rPr>
        <w:t xml:space="preserve">Digital Channels:</w:t>
      </w:r>
      <w:r>
        <w:t xml:space="preserve"> </w:t>
      </w:r>
      <w:r>
        <w:t xml:space="preserve">German-language app with DACH-region SEO optimization; partnerships with Berlin-based tech media (BerlinStartup.de, The Next Web DE).</w:t>
      </w:r>
    </w:p>
    <w:p>
      <w:pPr>
        <w:numPr>
          <w:ilvl w:val="0"/>
          <w:numId w:val="1005"/>
        </w:numPr>
        <w:pStyle w:val="Compact"/>
      </w:pPr>
      <w:r>
        <w:rPr>
          <w:iCs/>
          <w:i/>
        </w:rPr>
        <w:t xml:space="preserve">University Alliances:</w:t>
      </w:r>
      <w:r>
        <w:t xml:space="preserve"> </w:t>
      </w:r>
      <w:r>
        <w:t xml:space="preserve">Direct integration with Berlin's mathematics departments for talent acquisition (e.g., exclusive job postings via Humboldt University's career portal).</w:t>
      </w:r>
    </w:p>
    <w:bookmarkEnd w:id="26"/>
    <w:bookmarkStart w:id="27" w:name="X90827a807d0a7ad898dd5ff2016e193cbc00d50"/>
    <w:p>
      <w:pPr>
        <w:pStyle w:val="Heading3"/>
      </w:pPr>
      <w:r>
        <w:t xml:space="preserve">4. Promotion: Trust-Building in German Business Culture</w:t>
      </w:r>
    </w:p>
    <w:p>
      <w:pPr>
        <w:pStyle w:val="FirstParagraph"/>
      </w:pPr>
      <w:r>
        <w:t xml:space="preserve">A multi-channel approach prioritizing credibility:</w:t>
      </w:r>
    </w:p>
    <w:p>
      <w:pPr>
        <w:numPr>
          <w:ilvl w:val="0"/>
          <w:numId w:val="1006"/>
        </w:numPr>
        <w:pStyle w:val="Compact"/>
      </w:pPr>
      <w:r>
        <w:rPr>
          <w:iCs/>
          <w:i/>
        </w:rPr>
        <w:t xml:space="preserve">Content Marketing:</w:t>
      </w:r>
      <w:r>
        <w:t xml:space="preserve"> </w:t>
      </w:r>
      <w:r>
        <w:t xml:space="preserve">"Berlin Math Insights" whitepapers co-authored with Max Planck Institute researchers (e.g., "Mathematics in Berlin's Green Tech Revolution").</w:t>
      </w:r>
    </w:p>
    <w:p>
      <w:pPr>
        <w:numPr>
          <w:ilvl w:val="0"/>
          <w:numId w:val="1006"/>
        </w:numPr>
        <w:pStyle w:val="Compact"/>
      </w:pPr>
      <w:r>
        <w:rPr>
          <w:iCs/>
          <w:i/>
        </w:rPr>
        <w:t xml:space="preserve">Strategic Partnerships:</w:t>
      </w:r>
      <w:r>
        <w:t xml:space="preserve"> </w:t>
      </w:r>
      <w:r>
        <w:t xml:space="preserve">Certification by Berlin Chamber of Commerce; pilot programs with BMWi-funded innovation clusters.</w:t>
      </w:r>
    </w:p>
    <w:p>
      <w:pPr>
        <w:numPr>
          <w:ilvl w:val="0"/>
          <w:numId w:val="1006"/>
        </w:numPr>
        <w:pStyle w:val="Compact"/>
      </w:pPr>
      <w:r>
        <w:rPr>
          <w:iCs/>
          <w:i/>
        </w:rPr>
        <w:t xml:space="preserve">Community Events:</w:t>
      </w:r>
      <w:r>
        <w:t xml:space="preserve"> </w:t>
      </w:r>
      <w:r>
        <w:t xml:space="preserve">Quarterly "Mathematician Salon" networking dinners at historic venues (e.g., Alte Nationalgalerie), featuring keynote speakers from Berlin's scientific community.</w:t>
      </w:r>
    </w:p>
    <w:p>
      <w:pPr>
        <w:numPr>
          <w:ilvl w:val="0"/>
          <w:numId w:val="1006"/>
        </w:numPr>
        <w:pStyle w:val="Compact"/>
      </w:pPr>
      <w:r>
        <w:rPr>
          <w:iCs/>
          <w:i/>
        </w:rPr>
        <w:t xml:space="preserve">PR Campaigns:</w:t>
      </w:r>
      <w:r>
        <w:t xml:space="preserve"> </w:t>
      </w:r>
      <w:r>
        <w:t xml:space="preserve">Targeted media outreach to German publications (Frankfurter Allgemeine Zeitung, Wirtschaftswoche) emphasizing Berlin's leadership in math-driven innovation.</w:t>
      </w:r>
    </w:p>
    <w:bookmarkEnd w:id="27"/>
    <w:bookmarkEnd w:id="28"/>
    <w:bookmarkStart w:id="29" w:name="Xba18527a2f96c90fc98e1f2ae664e901b45fbd6"/>
    <w:p>
      <w:pPr>
        <w:pStyle w:val="Heading2"/>
      </w:pPr>
      <w:r>
        <w:t xml:space="preserve">Implementation Timeline: Berlin Launch Sequence</w:t>
      </w:r>
    </w:p>
    <w:p>
      <w:pPr>
        <w:pStyle w:val="FirstParagraph"/>
      </w:pPr>
      <w:r>
        <w:t xml:space="preserve">Phase</w:t>
      </w:r>
    </w:p>
    <w:p>
      <w:pPr>
        <w:pStyle w:val="BodyText"/>
      </w:pPr>
      <w:r>
        <w:t xml:space="preserve">Timeline</w:t>
      </w:r>
    </w:p>
    <w:p>
      <w:pPr>
        <w:pStyle w:val="BodyText"/>
      </w:pPr>
      <w:r>
        <w:t xml:space="preserve">Berlin-Specific Actions</w:t>
      </w:r>
    </w:p>
    <w:p>
      <w:pPr>
        <w:pStyle w:val="BodyText"/>
      </w:pPr>
      <w:r>
        <w:t xml:space="preserve">Foundation (Months 1-3)</w:t>
      </w:r>
    </w:p>
    <w:p>
      <w:pPr>
        <w:pStyle w:val="BodyText"/>
      </w:pPr>
      <w:r>
        <w:t xml:space="preserve">Q1 2024</w:t>
      </w:r>
    </w:p>
    <w:p>
      <w:pPr>
        <w:pStyle w:val="BodyText"/>
      </w:pPr>
      <w:r>
        <w:t xml:space="preserve">Negotiate partnerships with TU Berlin, HU Berlin; launch German-language website with localized GDPR compliance.</w:t>
      </w:r>
    </w:p>
    <w:p>
      <w:pPr>
        <w:pStyle w:val="BodyText"/>
      </w:pPr>
      <w:r>
        <w:t xml:space="preserve">Growth (Months 4-9)</w:t>
      </w:r>
    </w:p>
    <w:p>
      <w:pPr>
        <w:pStyle w:val="BodyText"/>
      </w:pPr>
      <w:r>
        <w:t xml:space="preserve">Q2-Q3 2024</w:t>
      </w:r>
    </w:p>
    <w:p>
      <w:pPr>
        <w:pStyle w:val="BodyText"/>
      </w:pPr>
      <w:r>
        <w:t xml:space="preserve">Host "Berlin Math Day" at Science Center Einstein, featuring startup pitch sessions.</w:t>
      </w:r>
    </w:p>
    <w:p>
      <w:pPr>
        <w:pStyle w:val="BodyText"/>
      </w:pPr>
      <w:r>
        <w:t xml:space="preserve">Secure pilot contracts with 3 Berlin-based fintechs (e.g., N26, Moneta).</w:t>
      </w:r>
    </w:p>
    <w:p>
      <w:pPr>
        <w:pStyle w:val="BodyText"/>
      </w:pPr>
      <w:r>
        <w:t xml:space="preserve">Maturity (Months 10-18)</w:t>
      </w:r>
    </w:p>
    <w:p>
      <w:pPr>
        <w:pStyle w:val="BodyText"/>
      </w:pPr>
      <w:r>
        <w:t xml:space="preserve">Q4 2024-Q2 2025</w:t>
      </w:r>
    </w:p>
    <w:p>
      <w:pPr>
        <w:pStyle w:val="BodyText"/>
      </w:pPr>
      <w:r>
        <w:t xml:space="preserve">Expand to Berlin-Mitte business district offices.</w:t>
      </w:r>
    </w:p>
    <w:p>
      <w:pPr>
        <w:pStyle w:val="BodyText"/>
      </w:pPr>
      <w:r>
        <w:t xml:space="preserve">Launch "Mathematician Ambassadors" program with top Berlin mathematicians (e.g., Prof. Dr. Jürgen Jost, MPI MiS).</w:t>
      </w:r>
    </w:p>
    <w:bookmarkEnd w:id="29"/>
    <w:bookmarkStart w:id="30" w:name="Xf9658d44ee934b9811a81837baa447d91733cce"/>
    <w:p>
      <w:pPr>
        <w:pStyle w:val="Heading2"/>
      </w:pPr>
      <w:r>
        <w:t xml:space="preserve">Budget Allocation: Prioritizing Berlin Impact</w:t>
      </w:r>
    </w:p>
    <w:p>
      <w:pPr>
        <w:pStyle w:val="FirstParagraph"/>
      </w:pPr>
      <w:r>
        <w:t xml:space="preserve">Total initial investment: €385,000</w:t>
      </w:r>
    </w:p>
    <w:p>
      <w:pPr>
        <w:numPr>
          <w:ilvl w:val="0"/>
          <w:numId w:val="1007"/>
        </w:numPr>
        <w:pStyle w:val="Compact"/>
      </w:pPr>
      <w:r>
        <w:t xml:space="preserve">45% - Berlin Community Building (events, university partnerships)</w:t>
      </w:r>
    </w:p>
    <w:p>
      <w:pPr>
        <w:numPr>
          <w:ilvl w:val="0"/>
          <w:numId w:val="1007"/>
        </w:numPr>
        <w:pStyle w:val="Compact"/>
      </w:pPr>
      <w:r>
        <w:t xml:space="preserve">30% - Digital Marketing &amp; SEO (Germany-focused campaigns)</w:t>
      </w:r>
    </w:p>
    <w:p>
      <w:pPr>
        <w:numPr>
          <w:ilvl w:val="0"/>
          <w:numId w:val="1007"/>
        </w:numPr>
        <w:pStyle w:val="Compact"/>
      </w:pPr>
      <w:r>
        <w:t xml:space="preserve">15% - Content Development (German-language whitepapers, case studies)</w:t>
      </w:r>
    </w:p>
    <w:p>
      <w:pPr>
        <w:numPr>
          <w:ilvl w:val="0"/>
          <w:numId w:val="1007"/>
        </w:numPr>
        <w:pStyle w:val="Compact"/>
      </w:pPr>
      <w:r>
        <w:t xml:space="preserve">10% - Operational Costs (Berlin office setup, legal compliance)</w:t>
      </w:r>
    </w:p>
    <w:bookmarkEnd w:id="30"/>
    <w:bookmarkStart w:id="31" w:name="evaluation-metrics-success-in-berlin"/>
    <w:p>
      <w:pPr>
        <w:pStyle w:val="Heading2"/>
      </w:pPr>
      <w:r>
        <w:t xml:space="preserve">Evaluation Metrics: Success in Berlin</w:t>
      </w:r>
    </w:p>
    <w:p>
      <w:pPr>
        <w:pStyle w:val="FirstParagraph"/>
      </w:pPr>
      <w:r>
        <w:t xml:space="preserve">We measure success through Berlin-specific KPIs:</w:t>
      </w:r>
    </w:p>
    <w:p>
      <w:pPr>
        <w:numPr>
          <w:ilvl w:val="0"/>
          <w:numId w:val="1008"/>
        </w:numPr>
        <w:pStyle w:val="Compact"/>
      </w:pPr>
      <w:r>
        <w:rPr>
          <w:iCs/>
          <w:i/>
        </w:rPr>
        <w:t xml:space="preserve">Market Penetration:</w:t>
      </w:r>
      <w:r>
        <w:t xml:space="preserve"> </w:t>
      </w:r>
      <w:r>
        <w:t xml:space="preserve">% of target B2B clients within 5km radius of Alexanderplatz.</w:t>
      </w:r>
    </w:p>
    <w:p>
      <w:pPr>
        <w:numPr>
          <w:ilvl w:val="0"/>
          <w:numId w:val="1008"/>
        </w:numPr>
        <w:pStyle w:val="Compact"/>
      </w:pPr>
      <w:r>
        <w:rPr>
          <w:iCs/>
          <w:i/>
        </w:rPr>
        <w:t xml:space="preserve">Talent Acquisition Rate:</w:t>
      </w:r>
      <w:r>
        <w:t xml:space="preserve"> </w:t>
      </w:r>
      <w:r>
        <w:t xml:space="preserve">Number of Berlin-based mathematicians verified quarterly (goal: 100+/month by Year 2).</w:t>
      </w:r>
    </w:p>
    <w:p>
      <w:pPr>
        <w:numPr>
          <w:ilvl w:val="0"/>
          <w:numId w:val="1008"/>
        </w:numPr>
        <w:pStyle w:val="Compact"/>
      </w:pPr>
      <w:r>
        <w:rPr>
          <w:iCs/>
          <w:i/>
        </w:rPr>
        <w:t xml:space="preserve">Client Retention:</w:t>
      </w:r>
      <w:r>
        <w:t xml:space="preserve"> </w:t>
      </w:r>
      <w:r>
        <w:t xml:space="preserve">&gt;75% renewal rate from Berlin enterprise contracts (vs. industry avg. 62%).</w:t>
      </w:r>
    </w:p>
    <w:p>
      <w:pPr>
        <w:numPr>
          <w:ilvl w:val="0"/>
          <w:numId w:val="1008"/>
        </w:numPr>
        <w:pStyle w:val="Compact"/>
      </w:pPr>
      <w:r>
        <w:rPr>
          <w:iCs/>
          <w:i/>
        </w:rPr>
        <w:t xml:space="preserve">Ethical Impact:</w:t>
      </w:r>
      <w:r>
        <w:t xml:space="preserve"> </w:t>
      </w:r>
      <w:r>
        <w:t xml:space="preserve"># of Berlin schools partnering with our education fund (target: 15 by Year 3).</w:t>
      </w:r>
    </w:p>
    <w:bookmarkEnd w:id="31"/>
    <w:bookmarkStart w:id="32" w:name="X97d97d1f348cdfe5e18d170e50cbc4b9c9ba117"/>
    <w:p>
      <w:pPr>
        <w:pStyle w:val="Heading2"/>
      </w:pPr>
      <w:r>
        <w:t xml:space="preserve">Conclusion: Why Berlin is the Strategic Imperative</w:t>
      </w:r>
    </w:p>
    <w:p>
      <w:pPr>
        <w:pStyle w:val="FirstParagraph"/>
      </w:pPr>
      <w:r>
        <w:t xml:space="preserve">"Mathematician" isn't merely a service – it's the catalyst for positioning Germany as Europe's mathematical innovation leader. Berlin provides the perfect confluence: world-class academic institutions, high-growth industries hungry for math expertise, and a culture that values precision and collaboration. This plan leverages Berlin's unique ecosystem to build a scalable model that will dominate Germany before expanding across DACH. As the city accelerates its "Berlin 2030" economic strategy, "Mathematician" becomes indispensable for transforming mathematical talent into competitive advantage – proving that in Germany, mathematics isn't just a discipline; it's the engine of tomorrow's economy.</w:t>
      </w:r>
    </w:p>
    <w:p>
      <w:pPr>
        <w:pStyle w:val="BodyText"/>
      </w:pPr>
      <w:r>
        <w:rPr>
          <w:iCs/>
          <w:i/>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 Berlin, Germany</dc:title>
  <dc:creator/>
  <dc:language>en</dc:language>
  <cp:keywords/>
  <dcterms:created xsi:type="dcterms:W3CDTF">2026-07-19T22:48:22Z</dcterms:created>
  <dcterms:modified xsi:type="dcterms:W3CDTF">2026-07-19T22:48:22Z</dcterms:modified>
</cp:coreProperties>
</file>

<file path=docProps/custom.xml><?xml version="1.0" encoding="utf-8"?>
<Properties xmlns="http://schemas.openxmlformats.org/officeDocument/2006/custom-properties" xmlns:vt="http://schemas.openxmlformats.org/officeDocument/2006/docPropsVTypes"/>
</file>