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MathPro</w:t>
      </w:r>
      <w:r>
        <w:t xml:space="preserve"> </w:t>
      </w:r>
      <w:r>
        <w:t xml:space="preserve">Frankfurt</w:t>
      </w:r>
      <w:r>
        <w:t xml:space="preserve"> </w:t>
      </w:r>
      <w:r>
        <w:t xml:space="preserve">-</w:t>
      </w:r>
      <w:r>
        <w:t xml:space="preserve"> </w:t>
      </w:r>
      <w:r>
        <w:t xml:space="preserve">Empowering</w:t>
      </w:r>
      <w:r>
        <w:t xml:space="preserve"> </w:t>
      </w:r>
      <w:r>
        <w:t xml:space="preserve">Mathematicians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</w:p>
    <w:bookmarkStart w:id="32" w:name="Xb462a287bee1a3e17b2995f4f8fff181764fc55"/>
    <w:p>
      <w:pPr>
        <w:pStyle w:val="Heading1"/>
      </w:pPr>
      <w:r>
        <w:t xml:space="preserve">Mathematical Excellence Strategy: Marketing Plan for MathPro Consulting in Germany Frankfurt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details the strategic entry of MathPro Consulting into Frankfurt, Germany's premier financial and technological hub. As a specialized firm connecting businesses with elite Mathematician talent, our focus is on leveraging Frankfurt's unique ecosystem to position MathPro as the indispensable partner for data-driven innovation. We target financial institutions, tech enterprises, and research organizations requiring advanced mathematical solutions in Germany Frankfurt. This plan outlines how we will establish market leadership through precision-targeted campaigns that resonate with both decision-makers and Mathematician professionals.</w:t>
      </w:r>
    </w:p>
    <w:bookmarkEnd w:id="20"/>
    <w:bookmarkStart w:id="21" w:name="Xc7ec880902e2b24a39d068867a065717762a3b8"/>
    <w:p>
      <w:pPr>
        <w:pStyle w:val="Heading2"/>
      </w:pPr>
      <w:r>
        <w:t xml:space="preserve">Market Analysis: Germany Frankfurt Context</w:t>
      </w:r>
    </w:p>
    <w:p>
      <w:pPr>
        <w:pStyle w:val="FirstParagraph"/>
      </w:pPr>
      <w:r>
        <w:t xml:space="preserve">Frankfurt's significance as Europe's financial capital (home to the European Central Bank, Deutsche Börse, and 150+ banks) creates unparalleled demand for quantitative expertise. According to the German Federal Statistical Office (Destatis), Frankfurt hosts 38% of Germany’s financial sector workforce—creating a $2.1B annual market for mathematical modeling services. However, a 2023 McKinsey study reveals only 47% of firms in Germany Frankfurt successfully integrate Mathematician talent due to fragmented recruitment channels and misaligned skill sets. This gap represents our strategic opportunity.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Clients:</w:t>
      </w:r>
      <w:r>
        <w:t xml:space="preserve"> </w:t>
      </w:r>
      <w:r>
        <w:t xml:space="preserve">Investment banks (Deutsche Bank, Commerzbank), fintech startups, and insurance firms seeking risk modeling experts in Germany Frankfurt.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Mathematician Talent Pool:</w:t>
      </w:r>
      <w:r>
        <w:t xml:space="preserve"> </w:t>
      </w:r>
      <w:r>
        <w:t xml:space="preserve">12,000+ university-trained mathematicians within 50km of Frankfurt (including Goethe University and Technical University Darmstadt graduates), prioritizing career growth over salary alone.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Partners:</w:t>
      </w:r>
      <w:r>
        <w:t xml:space="preserve"> </w:t>
      </w:r>
      <w:r>
        <w:t xml:space="preserve">Universities and research institutes collaborating on applied mathematics projects in Germany Frankfurt.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30% market penetration among Frankfurt-based financial firms requiring mathematical solutions within 18 months.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local-talent-acquisition-campaigns"/>
    <w:p>
      <w:pPr>
        <w:pStyle w:val="Heading3"/>
      </w:pPr>
      <w:r>
        <w:t xml:space="preserve">1. Hyperlocal Talent Acquisition Campaigns</w:t>
      </w:r>
    </w:p>
    <w:p>
      <w:pPr>
        <w:pStyle w:val="FirstParagraph"/>
      </w:pPr>
      <w:r>
        <w:t xml:space="preserve">We deploy a "Frankfurt Mathematician Network" initiative targeting the local academic ecosystem. This includes:</w:t>
      </w:r>
    </w:p>
    <w:p>
      <w:pPr>
        <w:numPr>
          <w:ilvl w:val="0"/>
          <w:numId w:val="1003"/>
        </w:numPr>
        <w:pStyle w:val="Compact"/>
      </w:pPr>
      <w:r>
        <w:t xml:space="preserve">Exclusive partnerships with Goethe University’s Institute of Mathematics for co-hosted workshops on "Quantitative Finance in Germany Frankfurt."</w:t>
      </w:r>
    </w:p>
    <w:p>
      <w:pPr>
        <w:numPr>
          <w:ilvl w:val="0"/>
          <w:numId w:val="1003"/>
        </w:numPr>
        <w:pStyle w:val="Compact"/>
      </w:pPr>
      <w:r>
        <w:t xml:space="preserve">Sponsorship of the Frankfurt Math Olympiad, positioning MathPro as a career catalyst for young Mathematicians.</w:t>
      </w:r>
    </w:p>
    <w:p>
      <w:pPr>
        <w:numPr>
          <w:ilvl w:val="0"/>
          <w:numId w:val="1003"/>
        </w:numPr>
        <w:pStyle w:val="Compact"/>
      </w:pPr>
      <w:r>
        <w:t xml:space="preserve">Targeted LinkedIn campaigns using location filters ("Frankfurt am Main," "Hesse") to engage mathematician professionals with content like "5 Ways Mathematicians Drive Value at Deutsche Bank."</w:t>
      </w:r>
    </w:p>
    <w:bookmarkEnd w:id="24"/>
    <w:bookmarkStart w:id="25" w:name="corporate-solution-positioning"/>
    <w:p>
      <w:pPr>
        <w:pStyle w:val="Heading3"/>
      </w:pPr>
      <w:r>
        <w:t xml:space="preserve">2. Corporate Solution Positioning</w:t>
      </w:r>
    </w:p>
    <w:p>
      <w:pPr>
        <w:pStyle w:val="FirstParagraph"/>
      </w:pPr>
      <w:r>
        <w:t xml:space="preserve">We differentiate by framing Mathematician expertise as strategic assets—not cost centers—through:</w:t>
      </w:r>
    </w:p>
    <w:p>
      <w:pPr>
        <w:numPr>
          <w:ilvl w:val="0"/>
          <w:numId w:val="1004"/>
        </w:numPr>
        <w:pStyle w:val="Compact"/>
      </w:pPr>
      <w:r>
        <w:t xml:space="preserve">A "Mathematical ROI Calculator" tool on our website, demonstrating cost savings from predictive modeling (e.g., 22% reduction in fraud detection costs at Frankfurt-based insurers).</w:t>
      </w:r>
    </w:p>
    <w:p>
      <w:pPr>
        <w:numPr>
          <w:ilvl w:val="0"/>
          <w:numId w:val="1004"/>
        </w:numPr>
        <w:pStyle w:val="Compact"/>
      </w:pPr>
      <w:r>
        <w:t xml:space="preserve">Industry-specific case studies: "How a Mathematician Optimized FX Trading Algorithms for Commerzbank," published in German business journals like Handelsblatt.</w:t>
      </w:r>
    </w:p>
    <w:p>
      <w:pPr>
        <w:numPr>
          <w:ilvl w:val="0"/>
          <w:numId w:val="1004"/>
        </w:numPr>
        <w:pStyle w:val="Compact"/>
      </w:pPr>
      <w:r>
        <w:t xml:space="preserve">Pop-up advisory sessions at Frankfurt’s Financial District offices (e.g., Römerberg Square), offering free 30-minute model audits.</w:t>
      </w:r>
    </w:p>
    <w:bookmarkEnd w:id="25"/>
    <w:bookmarkStart w:id="26" w:name="germany-frankfurt-community-building"/>
    <w:p>
      <w:pPr>
        <w:pStyle w:val="Heading3"/>
      </w:pPr>
      <w:r>
        <w:t xml:space="preserve">3. Germany Frankfurt Community Building</w:t>
      </w:r>
    </w:p>
    <w:p>
      <w:pPr>
        <w:pStyle w:val="FirstParagraph"/>
      </w:pPr>
      <w:r>
        <w:t xml:space="preserve">To foster organic growth, we establish physical and digital hubs:</w:t>
      </w:r>
    </w:p>
    <w:p>
      <w:pPr>
        <w:numPr>
          <w:ilvl w:val="0"/>
          <w:numId w:val="1005"/>
        </w:numPr>
        <w:pStyle w:val="Compact"/>
      </w:pPr>
      <w:r>
        <w:t xml:space="preserve">Launching the "Frankfurt Mathematics Hub" at the new European Banking Center—a co-working space for Mathematicians to collaborate with financial firms.</w:t>
      </w:r>
    </w:p>
    <w:p>
      <w:pPr>
        <w:numPr>
          <w:ilvl w:val="0"/>
          <w:numId w:val="1005"/>
        </w:numPr>
        <w:pStyle w:val="Compact"/>
      </w:pPr>
      <w:r>
        <w:t xml:space="preserve">Monthly "Math &amp; Money" networking events featuring guest speakers from DAX companies, hosted at Frankfurt’s Messe Congress Center.</w:t>
      </w:r>
    </w:p>
    <w:p>
      <w:pPr>
        <w:numPr>
          <w:ilvl w:val="0"/>
          <w:numId w:val="1005"/>
        </w:numPr>
        <w:pStyle w:val="Compact"/>
      </w:pPr>
      <w:r>
        <w:t xml:space="preserve">A bilingual (German/English) podcast series, "The Frankfurt Equation," discussing mathematical breakthroughs in Europe's economic heartland.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Activity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Germany Frankfurt Focus</w:t>
      </w:r>
    </w:p>
    <w:p>
      <w:pPr>
        <w:pStyle w:val="BodyText"/>
      </w:pPr>
      <w:r>
        <w:t xml:space="preserve">Talent Acquisition Events (Universities/Workshops)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Dedicated Frankfurt campus partnerships</w:t>
      </w:r>
    </w:p>
    <w:p>
      <w:pPr>
        <w:pStyle w:val="BodyText"/>
      </w:pPr>
      <w:r>
        <w:t xml:space="preserve">Digital Campaigns (LinkedIn, SEO for "Mathematician Frankfurt")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Geo-targeted ads in Hesse region</w:t>
      </w:r>
    </w:p>
    <w:p>
      <w:pPr>
        <w:pStyle w:val="BodyText"/>
      </w:pPr>
      <w:r>
        <w:t xml:space="preserve">Clinic Events &amp; Partnerships (Corporate)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Exclusive access to Frankfurt financial district venues</w:t>
      </w:r>
    </w:p>
    <w:p>
      <w:pPr>
        <w:pStyle w:val="BodyText"/>
      </w:pPr>
      <w:r>
        <w:t xml:space="preserve">Content Creation (Case Studies/Podcast)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All content features Frankfurt case studies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br/>
      </w:r>
      <w:r>
        <w:rPr>
          <w:bCs/>
          <w:b/>
        </w:rPr>
        <w:t xml:space="preserve">Total: 100%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university partnerships and launch SEO campaign targeting "Mathematician jobs Frankfurt" in Germany.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Host first Frankfurt Mathematics Hub event; deploy ROI calculator tool.</w:t>
      </w:r>
      <w:r>
        <w:t xml:space="preserve"> </w:t>
      </w:r>
      <w:r>
        <w:rPr>
          <w:bCs/>
          <w:b/>
        </w:rPr>
        <w:t xml:space="preserve">Months 7-12:</w:t>
      </w:r>
      <w:r>
        <w:t xml:space="preserve"> </w:t>
      </w:r>
      <w:r>
        <w:t xml:space="preserve">Scale corporate workshops; publish inaugural case study with a major Frankfurt bank.</w:t>
      </w:r>
      <w:r>
        <w:t xml:space="preserve"> </w:t>
      </w:r>
      <w:r>
        <w:rPr>
          <w:bCs/>
          <w:b/>
        </w:rPr>
        <w:t xml:space="preserve">Months 13-18:</w:t>
      </w:r>
      <w:r>
        <w:t xml:space="preserve"> </w:t>
      </w:r>
      <w:r>
        <w:t xml:space="preserve">Achieve network milestone (150 Mathematicians); secure enterprise contracts with 5+ DAX-listed firms in Germany Frankfurt.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three pillars aligned with our Marketing Plan goals: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40% increase in "MathPro" mentions among Frankfurt financial sector professionals (via Brandwatch monitoring).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70% conversion rate from workshop attendees to talent database sign-ups.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65% of new clients cite "local Mathematician expertise in Germany Frankfurt" as primary decision factor.</w:t>
      </w:r>
    </w:p>
    <w:bookmarkEnd w:id="30"/>
    <w:bookmarkStart w:id="31" w:name="X420697e06827706086c94af51d18361535b26b0"/>
    <w:p>
      <w:pPr>
        <w:pStyle w:val="Heading2"/>
      </w:pPr>
      <w:r>
        <w:t xml:space="preserve">Conclusion: Mathematics as Frankfurt’s Competitive Edge</w:t>
      </w:r>
    </w:p>
    <w:p>
      <w:pPr>
        <w:pStyle w:val="FirstParagraph"/>
      </w:pPr>
      <w:r>
        <w:t xml:space="preserve">This Marketing Plan positions MathPro Consulting at the intersection of Germany’s most dynamic market and its most valuable asset: the Mathematician. By embedding our brand into Frankfurt’s economic fabric—through university collaboration, financial district engagement, and community-building—we transform how businesses view mathematical talent. In a city where every major bank operates on complex algorithms, our strategy ensures that "Mathematician" isn’t just a job title but the catalyst for competitive advantage. Within 18 months, MathPro will be synonymous with precision-driven innovation in Germany Frankfurt—a standard no enterprise can afford to overlook.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MathPro Frankfurt - Empowering Mathematicians in Germany</dc:title>
  <dc:creator/>
  <dc:language>en</dc:language>
  <cp:keywords/>
  <dcterms:created xsi:type="dcterms:W3CDTF">2026-07-21T02:45:13Z</dcterms:created>
  <dcterms:modified xsi:type="dcterms:W3CDTF">2026-07-21T02:45:13Z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