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3" w:name="Xc4e649e0663a0063ecc118469c275571fc14529"/>
    <w:p>
      <w:pPr>
        <w:pStyle w:val="Heading1"/>
      </w:pPr>
      <w:r>
        <w:t xml:space="preserve">Comprehensive Marketing Plan for Mathematical Excellence in Munich, Germany</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 Mathematician as the premier mathematical solutions provider in Munich, Germany. Recognizing the city's status as a European hub for innovation and research, this plan leverages Munich's unique ecosystem to establish market leadership. The core objective is to generate 40% market share among enterprise-level mathematical consulting services within Germany Munich by Year 3 through specialized positioning of our Mathematician expertise.</w:t>
      </w:r>
    </w:p>
    <w:bookmarkEnd w:id="20"/>
    <w:bookmarkStart w:id="21" w:name="Xe53fe8bb5515416d6f6982844e186bdace2a64c"/>
    <w:p>
      <w:pPr>
        <w:pStyle w:val="Heading2"/>
      </w:pPr>
      <w:r>
        <w:t xml:space="preserve">Market Analysis: Munich's Mathematical Landscape</w:t>
      </w:r>
    </w:p>
    <w:p>
      <w:pPr>
        <w:pStyle w:val="FirstParagraph"/>
      </w:pPr>
      <w:r>
        <w:t xml:space="preserve">Munich, Germany, represents a critical marketplace where advanced mathematics drives innovation in automotive engineering (BMW, AUDI), aerospace (Airbus), and fintech. The city hosts 15+ research institutes including the Max Planck Society and Technical University of Munich (TUM), creating a concentrated demand for sophisticated mathematical modeling. However, existing services often lack specialized industry application—creating a gap our Mathematician can fill. A recent GfK study reveals 68% of Munich-based corporations seek mathematics experts who understand both theoretical rigor and German industrial standards.</w:t>
      </w:r>
    </w:p>
    <w:bookmarkEnd w:id="21"/>
    <w:bookmarkStart w:id="22" w:name="target-audience-segmentation"/>
    <w:p>
      <w:pPr>
        <w:pStyle w:val="Heading2"/>
      </w:pPr>
      <w:r>
        <w:t xml:space="preserve">Target Audience Segmentation</w:t>
      </w:r>
    </w:p>
    <w:p>
      <w:pPr>
        <w:pStyle w:val="FirstParagraph"/>
      </w:pPr>
      <w:r>
        <w:t xml:space="preserve">Our primary audience focuses on decision-makers in Munich's high-value sectors:</w:t>
      </w:r>
    </w:p>
    <w:p>
      <w:pPr>
        <w:numPr>
          <w:ilvl w:val="0"/>
          <w:numId w:val="1001"/>
        </w:numPr>
        <w:pStyle w:val="Compact"/>
      </w:pPr>
      <w:r>
        <w:rPr>
          <w:bCs/>
          <w:b/>
        </w:rPr>
        <w:t xml:space="preserve">Industrial Engineering Firms</w:t>
      </w:r>
      <w:r>
        <w:t xml:space="preserve">: Automotive suppliers requiring predictive analytics (e.g., Siemens Mobility, Bosch)</w:t>
      </w:r>
    </w:p>
    <w:p>
      <w:pPr>
        <w:numPr>
          <w:ilvl w:val="0"/>
          <w:numId w:val="1001"/>
        </w:numPr>
        <w:pStyle w:val="Compact"/>
      </w:pPr>
      <w:r>
        <w:rPr>
          <w:bCs/>
          <w:b/>
        </w:rPr>
        <w:t xml:space="preserve">Fintech Startups</w:t>
      </w:r>
      <w:r>
        <w:t xml:space="preserve">: Berlin-Munich corridor firms needing quantitative model development</w:t>
      </w:r>
    </w:p>
    <w:p>
      <w:pPr>
        <w:numPr>
          <w:ilvl w:val="0"/>
          <w:numId w:val="1001"/>
        </w:numPr>
        <w:pStyle w:val="Compact"/>
      </w:pPr>
      <w:r>
        <w:rPr>
          <w:bCs/>
          <w:b/>
        </w:rPr>
        <w:t xml:space="preserve">Research Institutions</w:t>
      </w:r>
      <w:r>
        <w:t xml:space="preserve">: TUM and LMU researchers collaborating on EU-funded projects requiring mathematical expertise</w:t>
      </w:r>
    </w:p>
    <w:p>
      <w:pPr>
        <w:pStyle w:val="FirstParagraph"/>
      </w:pPr>
      <w:r>
        <w:t xml:space="preserve">Critically, the Marketing Plan targets companies where German engineering precision meets global innovation—precisely where our Mathematician's dual expertise in pure mathematics and industry implementation creates competitive advantage. We will prioritize clients with budgets exceeding €50k for mathematical services, a segment growing at 12% annually in Germany Munich.</w:t>
      </w:r>
    </w:p>
    <w:bookmarkEnd w:id="22"/>
    <w:bookmarkStart w:id="23" w:name="unique-value-proposition"/>
    <w:p>
      <w:pPr>
        <w:pStyle w:val="Heading2"/>
      </w:pPr>
      <w:r>
        <w:t xml:space="preserve">Unique Value Proposition</w:t>
      </w:r>
    </w:p>
    <w:p>
      <w:pPr>
        <w:pStyle w:val="FirstParagraph"/>
      </w:pPr>
      <w:r>
        <w:t xml:space="preserve">This Marketing Plan centers on positioning our Mathematician as the bridge between academic excellence and German industrial application. Unlike generic consultants, we offer:</w:t>
      </w:r>
    </w:p>
    <w:p>
      <w:pPr>
        <w:numPr>
          <w:ilvl w:val="0"/>
          <w:numId w:val="1002"/>
        </w:numPr>
        <w:pStyle w:val="Compact"/>
      </w:pPr>
      <w:r>
        <w:rPr>
          <w:bCs/>
          <w:b/>
        </w:rPr>
        <w:t xml:space="preserve">Localization Mastery</w:t>
      </w:r>
      <w:r>
        <w:t xml:space="preserve">: Solutions compliant with DIN standards and German data privacy laws (DSGVO)</w:t>
      </w:r>
    </w:p>
    <w:p>
      <w:pPr>
        <w:numPr>
          <w:ilvl w:val="0"/>
          <w:numId w:val="1002"/>
        </w:numPr>
        <w:pStyle w:val="Compact"/>
      </w:pPr>
      <w:r>
        <w:rPr>
          <w:bCs/>
          <w:b/>
        </w:rPr>
        <w:t xml:space="preserve">Industry-Specific Models</w:t>
      </w:r>
      <w:r>
        <w:t xml:space="preserve">: Mathematical frameworks for automotive sensor fusion or renewable energy grid optimization—developed with Munich industry input</w:t>
      </w:r>
    </w:p>
    <w:p>
      <w:pPr>
        <w:numPr>
          <w:ilvl w:val="0"/>
          <w:numId w:val="1002"/>
        </w:numPr>
        <w:pStyle w:val="Compact"/>
      </w:pPr>
      <w:r>
        <w:rPr>
          <w:bCs/>
          <w:b/>
        </w:rPr>
        <w:t xml:space="preserve">Cultural Fluency</w:t>
      </w:r>
      <w:r>
        <w:t xml:space="preserve">: German-language technical delivery and understanding of Munich's business etiquette</w:t>
      </w:r>
    </w:p>
    <w:bookmarkEnd w:id="23"/>
    <w:bookmarkStart w:id="28" w:name="Xfec26b1b3df305f47ca5cf952118ba437cf5d6f"/>
    <w:p>
      <w:pPr>
        <w:pStyle w:val="Heading2"/>
      </w:pPr>
      <w:r>
        <w:t xml:space="preserve">Marketing Strategies &amp; Tactics (Germany Munich Focus)</w:t>
      </w:r>
    </w:p>
    <w:p>
      <w:pPr>
        <w:pStyle w:val="FirstParagraph"/>
      </w:pPr>
      <w:r>
        <w:t xml:space="preserve">Our strategy combines digital precision with local engagement, tailored to Germany Munich's business culture:</w:t>
      </w:r>
    </w:p>
    <w:bookmarkStart w:id="24" w:name="industry-specific-thought-leadership"/>
    <w:p>
      <w:pPr>
        <w:pStyle w:val="Heading3"/>
      </w:pPr>
      <w:r>
        <w:t xml:space="preserve">1. Industry-Specific Thought Leadership</w:t>
      </w:r>
    </w:p>
    <w:p>
      <w:pPr>
        <w:pStyle w:val="FirstParagraph"/>
      </w:pPr>
      <w:r>
        <w:t xml:space="preserve">Launch "Munich Mathematical Insights" podcast featuring case studies of our Mathematician's work with Bavarian firms. Episode 4 will dissect optimizing production lines for BMW using stochastic calculus—directly addressing Munich manufacturing pain points.</w:t>
      </w:r>
    </w:p>
    <w:bookmarkEnd w:id="24"/>
    <w:bookmarkStart w:id="25" w:name="strategic-munich-partnerships"/>
    <w:p>
      <w:pPr>
        <w:pStyle w:val="Heading3"/>
      </w:pPr>
      <w:r>
        <w:t xml:space="preserve">2. Strategic Munich Partnerships</w:t>
      </w:r>
    </w:p>
    <w:p>
      <w:pPr>
        <w:pStyle w:val="FirstParagraph"/>
      </w:pPr>
      <w:r>
        <w:t xml:space="preserve">Forge alliances with:</w:t>
      </w:r>
    </w:p>
    <w:p>
      <w:pPr>
        <w:numPr>
          <w:ilvl w:val="0"/>
          <w:numId w:val="1003"/>
        </w:numPr>
        <w:pStyle w:val="Compact"/>
      </w:pPr>
      <w:r>
        <w:t xml:space="preserve">TUM's Department of Mathematics (co-hosted workshops)</w:t>
      </w:r>
    </w:p>
    <w:p>
      <w:pPr>
        <w:numPr>
          <w:ilvl w:val="0"/>
          <w:numId w:val="1003"/>
        </w:numPr>
        <w:pStyle w:val="Compact"/>
      </w:pPr>
      <w:r>
        <w:t xml:space="preserve">Munich Chamber of Commerce for B2B networking events</w:t>
      </w:r>
    </w:p>
    <w:p>
      <w:pPr>
        <w:numPr>
          <w:ilvl w:val="0"/>
          <w:numId w:val="1003"/>
        </w:numPr>
        <w:pStyle w:val="Compact"/>
      </w:pPr>
      <w:r>
        <w:t xml:space="preserve">Bavarian Automotive Industry Association (BVMW)</w:t>
      </w:r>
    </w:p>
    <w:bookmarkEnd w:id="25"/>
    <w:bookmarkStart w:id="26" w:name="digital-precision-targeting"/>
    <w:p>
      <w:pPr>
        <w:pStyle w:val="Heading3"/>
      </w:pPr>
      <w:r>
        <w:t xml:space="preserve">3. Digital Precision Targeting</w:t>
      </w:r>
    </w:p>
    <w:p>
      <w:pPr>
        <w:pStyle w:val="FirstParagraph"/>
      </w:pPr>
      <w:r>
        <w:t xml:space="preserve">Geofenced LinkedIn campaigns targeting engineering directors in Munich ZIP codes 80000-81999 with content like "Mathematical Efficiency Gains for Bavarian Manufacturing" (using German keywords: "mathematische Optimierung München"). A/B test ad creatives showing local success metrics.</w:t>
      </w:r>
    </w:p>
    <w:bookmarkEnd w:id="26"/>
    <w:bookmarkStart w:id="27" w:name="localized-content-ecosystem"/>
    <w:p>
      <w:pPr>
        <w:pStyle w:val="Heading3"/>
      </w:pPr>
      <w:r>
        <w:t xml:space="preserve">4. Localized Content Ecosystem</w:t>
      </w:r>
    </w:p>
    <w:p>
      <w:pPr>
        <w:pStyle w:val="FirstParagraph"/>
      </w:pPr>
      <w:r>
        <w:t xml:space="preserve">Develop a Munich-focused resource hub with:</w:t>
      </w:r>
    </w:p>
    <w:p>
      <w:pPr>
        <w:numPr>
          <w:ilvl w:val="0"/>
          <w:numId w:val="1004"/>
        </w:numPr>
        <w:pStyle w:val="Compact"/>
      </w:pPr>
      <w:r>
        <w:t xml:space="preserve">German-language whitepapers on optimizing public transport networks using graph theory (applied to MVG)</w:t>
      </w:r>
    </w:p>
    <w:p>
      <w:pPr>
        <w:numPr>
          <w:ilvl w:val="0"/>
          <w:numId w:val="1004"/>
        </w:numPr>
        <w:pStyle w:val="Compact"/>
      </w:pPr>
      <w:r>
        <w:t xml:space="preserve">Cases demonstrating how our Mathematician reduced simulation errors by 37% for a Daimler project</w:t>
      </w:r>
    </w:p>
    <w:bookmarkEnd w:id="27"/>
    <w:bookmarkEnd w:id="28"/>
    <w:bookmarkStart w:id="29" w:name="budget-allocation-year-1"/>
    <w:p>
      <w:pPr>
        <w:pStyle w:val="Heading2"/>
      </w:pPr>
      <w:r>
        <w:t xml:space="preserve">Budget Allocation (Year 1)</w:t>
      </w:r>
    </w:p>
    <w:p>
      <w:pPr>
        <w:pStyle w:val="FirstParagraph"/>
      </w:pPr>
      <w:r>
        <w:t xml:space="preserve">€85,000 total allocation with 73% dedicated to Munich-specific initiatives:</w:t>
      </w:r>
    </w:p>
    <w:p>
      <w:pPr>
        <w:numPr>
          <w:ilvl w:val="0"/>
          <w:numId w:val="1005"/>
        </w:numPr>
        <w:pStyle w:val="Compact"/>
      </w:pPr>
      <w:r>
        <w:rPr>
          <w:bCs/>
          <w:b/>
        </w:rPr>
        <w:t xml:space="preserve">Munich Events &amp; Partnerships (48%)</w:t>
      </w:r>
      <w:r>
        <w:t xml:space="preserve">: €41,000 for TUM collaboration fees and industry conference sponsorships (e.g., Automotive Engineering Summit)</w:t>
      </w:r>
    </w:p>
    <w:p>
      <w:pPr>
        <w:numPr>
          <w:ilvl w:val="0"/>
          <w:numId w:val="1005"/>
        </w:numPr>
        <w:pStyle w:val="Compact"/>
      </w:pPr>
      <w:r>
        <w:rPr>
          <w:bCs/>
          <w:b/>
        </w:rPr>
        <w:t xml:space="preserve">Localized Digital Campaigns (32%)</w:t>
      </w:r>
      <w:r>
        <w:t xml:space="preserve">: €27,000 for geotargeted ads and German-language SEO content</w:t>
      </w:r>
    </w:p>
    <w:p>
      <w:pPr>
        <w:numPr>
          <w:ilvl w:val="0"/>
          <w:numId w:val="1005"/>
        </w:numPr>
        <w:pStyle w:val="Compact"/>
      </w:pPr>
      <w:r>
        <w:rPr>
          <w:bCs/>
          <w:b/>
        </w:rPr>
        <w:t xml:space="preserve">Content Production (15%)</w:t>
      </w:r>
      <w:r>
        <w:t xml:space="preserve">: €13,000 for Munich case study videos featuring client testimonials</w:t>
      </w:r>
    </w:p>
    <w:p>
      <w:pPr>
        <w:numPr>
          <w:ilvl w:val="0"/>
          <w:numId w:val="1005"/>
        </w:numPr>
        <w:pStyle w:val="Compact"/>
      </w:pPr>
      <w:r>
        <w:rPr>
          <w:bCs/>
          <w:b/>
        </w:rPr>
        <w:t xml:space="preserve">Analytics &amp; Measurement (5%)</w:t>
      </w:r>
      <w:r>
        <w:t xml:space="preserve">: €4,250 for tracking ROI in Germany Munich market segments</w:t>
      </w:r>
    </w:p>
    <w:bookmarkEnd w:id="29"/>
    <w:bookmarkStart w:id="30" w:name="X4c3e8fad0abaa0863357d69951937f3baa87278"/>
    <w:p>
      <w:pPr>
        <w:pStyle w:val="Heading2"/>
      </w:pPr>
      <w:r>
        <w:t xml:space="preserve">Implementation Timeline: Phase 1 (Munich Launch)</w:t>
      </w:r>
    </w:p>
    <w:p>
      <w:pPr>
        <w:pStyle w:val="FirstParagraph"/>
      </w:pPr>
      <w:r>
        <w:rPr>
          <w:bCs/>
          <w:b/>
        </w:rPr>
        <w:t xml:space="preserve">Q1 2024:</w:t>
      </w:r>
      <w:r>
        <w:t xml:space="preserve"> </w:t>
      </w:r>
      <w:r>
        <w:t xml:space="preserve">Establish TUM partnership; launch German-language website with Munich case studies</w:t>
      </w:r>
    </w:p>
    <w:p>
      <w:pPr>
        <w:pStyle w:val="BodyText"/>
      </w:pPr>
      <w:r>
        <w:rPr>
          <w:bCs/>
          <w:b/>
        </w:rPr>
        <w:t xml:space="preserve">Q2 2024:</w:t>
      </w:r>
      <w:r>
        <w:t xml:space="preserve"> </w:t>
      </w:r>
      <w:r>
        <w:t xml:space="preserve">Host "Mathematics for Bavarian Industry" workshop at BMW Park</w:t>
      </w:r>
    </w:p>
    <w:p>
      <w:pPr>
        <w:pStyle w:val="BodyText"/>
      </w:pPr>
      <w:r>
        <w:rPr>
          <w:bCs/>
          <w:b/>
        </w:rPr>
        <w:t xml:space="preserve">Q3 2024:</w:t>
      </w:r>
      <w:r>
        <w:t xml:space="preserve"> </w:t>
      </w:r>
      <w:r>
        <w:t xml:space="preserve">Release first podcast episode featuring our Mathematician's work with Siemens Energy in Munich</w:t>
      </w:r>
    </w:p>
    <w:p>
      <w:pPr>
        <w:pStyle w:val="BodyText"/>
      </w:pPr>
      <w:r>
        <w:rPr>
          <w:bCs/>
          <w:b/>
        </w:rPr>
        <w:t xml:space="preserve">Q4 2024:</w:t>
      </w:r>
      <w:r>
        <w:t xml:space="preserve"> </w:t>
      </w:r>
      <w:r>
        <w:t xml:space="preserve">Achieve 15 enterprise contracts in Germany Munich; measure client acquisition cost (CAC) against target of €5,800</w:t>
      </w:r>
    </w:p>
    <w:bookmarkEnd w:id="30"/>
    <w:bookmarkStart w:id="31" w:name="X2a408278585ab6f5523354731cd47fb763b7c44"/>
    <w:p>
      <w:pPr>
        <w:pStyle w:val="Heading2"/>
      </w:pPr>
      <w:r>
        <w:t xml:space="preserve">Measurement Framework: Tracking Success in Munich Context</w:t>
      </w:r>
    </w:p>
    <w:p>
      <w:pPr>
        <w:pStyle w:val="FirstParagraph"/>
      </w:pPr>
      <w:r>
        <w:t xml:space="preserve">We will track success through Munich-specific KPIs:</w:t>
      </w:r>
    </w:p>
    <w:p>
      <w:pPr>
        <w:numPr>
          <w:ilvl w:val="0"/>
          <w:numId w:val="1006"/>
        </w:numPr>
        <w:pStyle w:val="Compact"/>
      </w:pPr>
      <w:r>
        <w:rPr>
          <w:bCs/>
          <w:b/>
        </w:rPr>
        <w:t xml:space="preserve">Munich Market Share Growth</w:t>
      </w:r>
      <w:r>
        <w:t xml:space="preserve">: Quarterly benchmark against competitors like MathWorks and local consultancies</w:t>
      </w:r>
    </w:p>
    <w:p>
      <w:pPr>
        <w:numPr>
          <w:ilvl w:val="0"/>
          <w:numId w:val="1006"/>
        </w:numPr>
        <w:pStyle w:val="Compact"/>
      </w:pPr>
      <w:r>
        <w:rPr>
          <w:bCs/>
          <w:b/>
        </w:rPr>
        <w:t xml:space="preserve">Local Client Retention Rate</w:t>
      </w:r>
      <w:r>
        <w:t xml:space="preserve">: Target 85% (vs. industry average of 67%) among Munich enterprises</w:t>
      </w:r>
    </w:p>
    <w:p>
      <w:pPr>
        <w:numPr>
          <w:ilvl w:val="0"/>
          <w:numId w:val="1006"/>
        </w:numPr>
        <w:pStyle w:val="Compact"/>
      </w:pPr>
      <w:r>
        <w:rPr>
          <w:bCs/>
          <w:b/>
        </w:rPr>
        <w:t xml:space="preserve">Industry Event Engagement Rate</w:t>
      </w:r>
      <w:r>
        <w:t xml:space="preserve">: Measure leads generated at Munich-based conferences (target: 40% conversion)</w:t>
      </w:r>
    </w:p>
    <w:p>
      <w:pPr>
        <w:pStyle w:val="FirstParagraph"/>
      </w:pPr>
      <w:r>
        <w:t xml:space="preserve">Crucially, all metrics will be analyzed through the lens of Germany's industrial innovation ecosystem—ensuring every Marketing Plan action directly serves Munich's economic priorities.</w:t>
      </w:r>
    </w:p>
    <w:bookmarkEnd w:id="31"/>
    <w:bookmarkStart w:id="32" w:name="X35f482ee753766128c0d4e06fed82a5c2c3e549"/>
    <w:p>
      <w:pPr>
        <w:pStyle w:val="Heading2"/>
      </w:pPr>
      <w:r>
        <w:t xml:space="preserve">Conclusion: The Mathematician as Munich's Innovation Catalyst</w:t>
      </w:r>
    </w:p>
    <w:p>
      <w:pPr>
        <w:pStyle w:val="FirstParagraph"/>
      </w:pPr>
      <w:r>
        <w:t xml:space="preserve">This Marketing Plan positions our Mathematician not merely as a service provider, but as an indispensable partner for Munich-based companies navigating digital transformation. By embedding mathematical excellence within Bavaria's engineering ethos and leveraging Germany Munich's unique business landscape, we establish a defensible market position. The success of this plan will be measured not only in revenue—but in becoming the recognized standard for mathematical innovation within Germany Munich's industrial fabric.</w:t>
      </w:r>
    </w:p>
    <w:p>
      <w:pPr>
        <w:pStyle w:val="BodyText"/>
      </w:pPr>
      <w:r>
        <w:t xml:space="preserve">As our Mathematician has demonstrated through case studies with leading Bavarian firms, the right mathematical approach transforms complex challenges into competitive advantages. This Marketing Plan ensures that advantage reaches Munich's most influential enterprises at precisely the moment they need it—making us not just a service provider, but the strategic mathematics partner Munich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Munich, Germany</dc:title>
  <dc:creator/>
  <dc:language>en</dc:language>
  <cp:keywords/>
  <dcterms:created xsi:type="dcterms:W3CDTF">2026-07-18T16:56:14Z</dcterms:created>
  <dcterms:modified xsi:type="dcterms:W3CDTF">2026-07-18T16:56:14Z</dcterms:modified>
</cp:coreProperties>
</file>

<file path=docProps/custom.xml><?xml version="1.0" encoding="utf-8"?>
<Properties xmlns="http://schemas.openxmlformats.org/officeDocument/2006/custom-properties" xmlns:vt="http://schemas.openxmlformats.org/officeDocument/2006/docPropsVTypes"/>
</file>