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Xc0ad77106090400fac3a550568023d781f049ca"/>
    <w:p>
      <w:pPr>
        <w:pStyle w:val="Heading1"/>
      </w:pPr>
      <w:r>
        <w:t xml:space="preserve">Comprehensive Marketing Plan: Mathematician Service Launch in Iran Tehran</w:t>
      </w:r>
    </w:p>
    <w:bookmarkStart w:id="20" w:name="executive-summary"/>
    <w:p>
      <w:pPr>
        <w:pStyle w:val="Heading2"/>
      </w:pPr>
      <w:r>
        <w:t xml:space="preserve">Executive Summary</w:t>
      </w:r>
    </w:p>
    <w:p>
      <w:pPr>
        <w:pStyle w:val="FirstParagraph"/>
      </w:pPr>
      <w:r>
        <w:t xml:space="preserve">This Marketing Plan outlines the strategic launch of "Mathematician," a premium mathematics education platform, targeting Tehran's academic community. With Iran's education sector experiencing significant growth and Tehran housing 10% of Iran's population (over 9 million residents), Mathematician positions itself as the premier solution for advanced mathematical learning. The plan leverages Tehran's dense concentration of universities, schools, and tech-savvy youth to establish market leadership within 24 months. We project capturing 15% market share in Tehran's mathematics education segment by Year 3 through culturally tailored digital engagement and institutional partnerships.</w:t>
      </w:r>
    </w:p>
    <w:bookmarkEnd w:id="20"/>
    <w:bookmarkStart w:id="21" w:name="market-analysis-iran-tehran-context"/>
    <w:p>
      <w:pPr>
        <w:pStyle w:val="Heading2"/>
      </w:pPr>
      <w:r>
        <w:t xml:space="preserve">Market Analysis: Iran Tehran Context</w:t>
      </w:r>
    </w:p>
    <w:p>
      <w:pPr>
        <w:pStyle w:val="FirstParagraph"/>
      </w:pPr>
      <w:r>
        <w:t xml:space="preserve">Tehran's education landscape presents unique opportunities. The city hosts 47 universities, including elite institutions like Sharif University of Technology and Tehran University, generating consistent demand for advanced mathematics resources. According to Ministry of Education data (2023), 68% of Tehran high school students pursue STEM fields, yet 73% report insufficient math support outside classrooms. This gap is exacerbated by Iran's national curriculum emphasis on theoretical mathematics without practical application—creating ideal conditions for Mathematician's problem-solving focused methodology.</w:t>
      </w:r>
    </w:p>
    <w:p>
      <w:pPr>
        <w:pStyle w:val="BodyText"/>
      </w:pPr>
      <w:r>
        <w:t xml:space="preserve">Cultural considerations are paramount: Iranian parents prioritize academic excellence (spending 24% of household income on education), while students value platforms that align with Islamic educational values. The platform must integrate Persian language support, avoid Western-centric examples, and respect religious holidays in scheduling—all critical for Tehran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(Grades 8-12)</w:t>
      </w:r>
      <w:r>
        <w:t xml:space="preserve">: 1.8 million Tehran students requiring advanced math support for university entrance exams (Konkoor) and national competitions.</w:t>
      </w:r>
    </w:p>
    <w:p>
      <w:pPr>
        <w:numPr>
          <w:ilvl w:val="0"/>
          <w:numId w:val="1001"/>
        </w:numPr>
        <w:pStyle w:val="Compact"/>
      </w:pPr>
      <w:r>
        <w:rPr>
          <w:bCs/>
          <w:b/>
        </w:rPr>
        <w:t xml:space="preserve">Secondary: Educators</w:t>
      </w:r>
      <w:r>
        <w:t xml:space="preserve">: 35,000+ teachers across Tehran schools seeking professional development resources.</w:t>
      </w:r>
    </w:p>
    <w:p>
      <w:pPr>
        <w:numPr>
          <w:ilvl w:val="0"/>
          <w:numId w:val="1001"/>
        </w:numPr>
        <w:pStyle w:val="Compact"/>
      </w:pPr>
      <w:r>
        <w:rPr>
          <w:bCs/>
          <w:b/>
        </w:rPr>
        <w:t xml:space="preserve">Tertiary: Parents</w:t>
      </w:r>
      <w:r>
        <w:t xml:space="preserve">: Affluent households in affluent districts (e.g., Valiasr St., Sa'adat Abad) prioritizing educational investments.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70% recognition among Tehran students via digital channels within Year 1.</w:t>
      </w:r>
    </w:p>
    <w:p>
      <w:pPr>
        <w:numPr>
          <w:ilvl w:val="0"/>
          <w:numId w:val="1002"/>
        </w:numPr>
        <w:pStyle w:val="Compact"/>
      </w:pPr>
      <w:r>
        <w:rPr>
          <w:bCs/>
          <w:b/>
        </w:rPr>
        <w:t xml:space="preserve">Customer Acquisition</w:t>
      </w:r>
      <w:r>
        <w:t xml:space="preserve">: Secure 50,000 active users in Tehran by Month 18 through targeted university partnerships.</w:t>
      </w:r>
    </w:p>
    <w:p>
      <w:pPr>
        <w:numPr>
          <w:ilvl w:val="0"/>
          <w:numId w:val="1002"/>
        </w:numPr>
        <w:pStyle w:val="Compact"/>
      </w:pPr>
      <w:r>
        <w:rPr>
          <w:bCs/>
          <w:b/>
        </w:rPr>
        <w:t xml:space="preserve">Revenue Growth</w:t>
      </w:r>
      <w:r>
        <w:t xml:space="preserve">: Generate $2.4M in subscription revenue (35% from students, 65% from schools) by Year 3.</w:t>
      </w:r>
    </w:p>
    <w:p>
      <w:pPr>
        <w:numPr>
          <w:ilvl w:val="0"/>
          <w:numId w:val="1002"/>
        </w:numPr>
        <w:pStyle w:val="Compact"/>
      </w:pPr>
      <w:r>
        <w:rPr>
          <w:bCs/>
          <w:b/>
        </w:rPr>
        <w:t xml:space="preserve">Community Impact</w:t>
      </w:r>
      <w:r>
        <w:t xml:space="preserve">: Establish Mathematician as the endorsed platform for Iran's National Mathematics Olympiad training.</w:t>
      </w:r>
    </w:p>
    <w:bookmarkEnd w:id="23"/>
    <w:bookmarkStart w:id="28" w:name="X9915821b19e3dc3f76aab9293f6614ce846a8af"/>
    <w:p>
      <w:pPr>
        <w:pStyle w:val="Heading2"/>
      </w:pPr>
      <w:r>
        <w:t xml:space="preserve">Marketing Strategies: Tehran-Centric Approach</w:t>
      </w:r>
    </w:p>
    <w:bookmarkStart w:id="24" w:name="product-strategy-tailored-for-iran"/>
    <w:p>
      <w:pPr>
        <w:pStyle w:val="Heading3"/>
      </w:pPr>
      <w:r>
        <w:t xml:space="preserve">Product Strategy (Tailored for Iran)</w:t>
      </w:r>
    </w:p>
    <w:p>
      <w:pPr>
        <w:pStyle w:val="FirstParagraph"/>
      </w:pPr>
      <w:r>
        <w:t xml:space="preserve">Mathematician offers:</w:t>
      </w:r>
    </w:p>
    <w:p>
      <w:pPr>
        <w:numPr>
          <w:ilvl w:val="0"/>
          <w:numId w:val="1003"/>
        </w:numPr>
        <w:pStyle w:val="Compact"/>
      </w:pPr>
      <w:r>
        <w:t xml:space="preserve">Persian-language interface with Farsi script support (including Arabic numerals used in Iranian curriculum)</w:t>
      </w:r>
    </w:p>
    <w:p>
      <w:pPr>
        <w:numPr>
          <w:ilvl w:val="0"/>
          <w:numId w:val="1003"/>
        </w:numPr>
        <w:pStyle w:val="Compact"/>
      </w:pPr>
      <w:r>
        <w:t xml:space="preserve">Curriculum aligned with Iran's Ministry of Education standards for Grades 8-12</w:t>
      </w:r>
    </w:p>
    <w:p>
      <w:pPr>
        <w:numPr>
          <w:ilvl w:val="0"/>
          <w:numId w:val="1003"/>
        </w:numPr>
        <w:pStyle w:val="Compact"/>
      </w:pPr>
      <w:r>
        <w:t xml:space="preserve">Content featuring local problem contexts (e.g., engineering challenges in Tehran Metro construction, agriculture economics)</w:t>
      </w:r>
    </w:p>
    <w:p>
      <w:pPr>
        <w:numPr>
          <w:ilvl w:val="0"/>
          <w:numId w:val="1003"/>
        </w:numPr>
        <w:pStyle w:val="Compact"/>
      </w:pPr>
      <w:r>
        <w:t xml:space="preserve">Islamic ethics modules integrated into math applications (e.g., calculating Zakat using algebra)</w:t>
      </w:r>
    </w:p>
    <w:bookmarkEnd w:id="24"/>
    <w:bookmarkStart w:id="25" w:name="pricing-strategy"/>
    <w:p>
      <w:pPr>
        <w:pStyle w:val="Heading3"/>
      </w:pPr>
      <w:r>
        <w:t xml:space="preserve">Pricing Strategy</w:t>
      </w:r>
    </w:p>
    <w:p>
      <w:pPr>
        <w:pStyle w:val="FirstParagraph"/>
      </w:pPr>
      <w:r>
        <w:t xml:space="preserve">A tiered model respecting Tehran's economic context:</w:t>
      </w:r>
    </w:p>
    <w:p>
      <w:pPr>
        <w:numPr>
          <w:ilvl w:val="0"/>
          <w:numId w:val="1004"/>
        </w:numPr>
        <w:pStyle w:val="Compact"/>
      </w:pPr>
      <w:r>
        <w:rPr>
          <w:bCs/>
          <w:b/>
        </w:rPr>
        <w:t xml:space="preserve">Student Basic Plan</w:t>
      </w:r>
      <w:r>
        <w:t xml:space="preserve">: 250,000 IRR/month ($1.8) – core curriculum access (46% below Tehran average tuition costs)</w:t>
      </w:r>
    </w:p>
    <w:p>
      <w:pPr>
        <w:numPr>
          <w:ilvl w:val="0"/>
          <w:numId w:val="1004"/>
        </w:numPr>
        <w:pStyle w:val="Compact"/>
      </w:pPr>
      <w:r>
        <w:rPr>
          <w:bCs/>
          <w:b/>
        </w:rPr>
        <w:t xml:space="preserve">University Partnership Plan</w:t>
      </w:r>
      <w:r>
        <w:t xml:space="preserve">: 3,500,000 IRR/semester (institution-wide license for schools)</w:t>
      </w:r>
    </w:p>
    <w:p>
      <w:pPr>
        <w:numPr>
          <w:ilvl w:val="0"/>
          <w:numId w:val="1004"/>
        </w:numPr>
        <w:pStyle w:val="Compact"/>
      </w:pPr>
      <w:r>
        <w:rPr>
          <w:bCs/>
          <w:b/>
        </w:rPr>
        <w:t xml:space="preserve">Elite Olympiad Track</w:t>
      </w:r>
      <w:r>
        <w:t xml:space="preserve">: 1.2M IRR/month – includes live sessions with Iranian national team coaches</w:t>
      </w:r>
    </w:p>
    <w:p>
      <w:pPr>
        <w:pStyle w:val="FirstParagraph"/>
      </w:pPr>
      <w:r>
        <w:t xml:space="preserve">Pricing accounts for Iran's currency volatility through monthly micro-transactions via local payment gateways (Saman, ZarinPal).</w:t>
      </w:r>
    </w:p>
    <w:bookmarkEnd w:id="25"/>
    <w:bookmarkStart w:id="26" w:name="place-distribution-tehran-localization"/>
    <w:p>
      <w:pPr>
        <w:pStyle w:val="Heading3"/>
      </w:pPr>
      <w:r>
        <w:t xml:space="preserve">Place &amp; Distribution (Tehran Localization)</w:t>
      </w:r>
    </w:p>
    <w:p>
      <w:pPr>
        <w:pStyle w:val="FirstParagraph"/>
      </w:pPr>
      <w:r>
        <w:t xml:space="preserve">Physical presence in Tehran is critical:</w:t>
      </w:r>
    </w:p>
    <w:p>
      <w:pPr>
        <w:numPr>
          <w:ilvl w:val="0"/>
          <w:numId w:val="1005"/>
        </w:numPr>
        <w:pStyle w:val="Compact"/>
      </w:pPr>
      <w:r>
        <w:t xml:space="preserve">Establish 5 physical "Mathematician Hubs" in strategic locations: near Shahid Beheshti University, Azadi Square, and Evin School District</w:t>
      </w:r>
    </w:p>
    <w:p>
      <w:pPr>
        <w:numPr>
          <w:ilvl w:val="0"/>
          <w:numId w:val="1005"/>
        </w:numPr>
        <w:pStyle w:val="Compact"/>
      </w:pPr>
      <w:r>
        <w:t xml:space="preserve">Partner with 120+ schools for offline QR code distribution (addressing low smartphone penetration in some areas)</w:t>
      </w:r>
    </w:p>
    <w:p>
      <w:pPr>
        <w:numPr>
          <w:ilvl w:val="0"/>
          <w:numId w:val="1005"/>
        </w:numPr>
        <w:pStyle w:val="Compact"/>
      </w:pPr>
      <w:r>
        <w:t xml:space="preserve">Deploy "Math Bus" – retrofitted city buses offering free math clinics at major Tehran transit points (e.g., Valiasr Metro Station)</w:t>
      </w:r>
    </w:p>
    <w:bookmarkEnd w:id="26"/>
    <w:bookmarkStart w:id="27" w:name="promotion-strategy-cultural-integration"/>
    <w:p>
      <w:pPr>
        <w:pStyle w:val="Heading3"/>
      </w:pPr>
      <w:r>
        <w:t xml:space="preserve">Promotion Strategy: Cultural Integration</w:t>
      </w:r>
    </w:p>
    <w:p>
      <w:pPr>
        <w:pStyle w:val="FirstParagraph"/>
      </w:pPr>
      <w:r>
        <w:t xml:space="preserve">Marketing leverages Tehran's community dynamics:</w:t>
      </w:r>
    </w:p>
    <w:p>
      <w:pPr>
        <w:numPr>
          <w:ilvl w:val="0"/>
          <w:numId w:val="1006"/>
        </w:numPr>
        <w:pStyle w:val="Compact"/>
      </w:pPr>
      <w:r>
        <w:rPr>
          <w:bCs/>
          <w:b/>
        </w:rPr>
        <w:t xml:space="preserve">Religious Alignment</w:t>
      </w:r>
      <w:r>
        <w:t xml:space="preserve">: Collaborate with Shia religious centers (e.g., Imam Khomeini Mosque) to host "Math in Islamic Science" workshops</w:t>
      </w:r>
    </w:p>
    <w:p>
      <w:pPr>
        <w:numPr>
          <w:ilvl w:val="0"/>
          <w:numId w:val="1006"/>
        </w:numPr>
        <w:pStyle w:val="Compact"/>
      </w:pPr>
      <w:r>
        <w:rPr>
          <w:bCs/>
          <w:b/>
        </w:rPr>
        <w:t xml:space="preserve">University Ambassadors</w:t>
      </w:r>
      <w:r>
        <w:t xml:space="preserve">: Recruit 300+ student influencers from Tehran's top universities for peer-to-peer promotion</w:t>
      </w:r>
    </w:p>
    <w:p>
      <w:pPr>
        <w:numPr>
          <w:ilvl w:val="0"/>
          <w:numId w:val="1006"/>
        </w:numPr>
        <w:pStyle w:val="Compact"/>
      </w:pPr>
      <w:r>
        <w:rPr>
          <w:bCs/>
          <w:b/>
        </w:rPr>
        <w:t xml:space="preserve">Social Media Blitz</w:t>
      </w:r>
      <w:r>
        <w:t xml:space="preserve">: TikTok/Instagram campaigns using trending Persian poetry to explain math concepts (e.g., "Math of Nowruz decorations")</w:t>
      </w:r>
    </w:p>
    <w:p>
      <w:pPr>
        <w:numPr>
          <w:ilvl w:val="0"/>
          <w:numId w:val="1006"/>
        </w:numPr>
        <w:pStyle w:val="Compact"/>
      </w:pPr>
      <w:r>
        <w:rPr>
          <w:bCs/>
          <w:b/>
        </w:rPr>
        <w:t xml:space="preserve">Media Partnerships</w:t>
      </w:r>
      <w:r>
        <w:t xml:space="preserve">: Sponsor Iran's National Mathematics Olympiad on state TV, featuring Tehran students solving real-world problems</w:t>
      </w:r>
    </w:p>
    <w:bookmarkEnd w:id="27"/>
    <w:bookmarkEnd w:id="28"/>
    <w:bookmarkStart w:id="29" w:name="Xae2ca5d6ada34dc7b7389dc91f1fa2360ed2803"/>
    <w:p>
      <w:pPr>
        <w:pStyle w:val="Heading2"/>
      </w:pPr>
      <w:r>
        <w:t xml:space="preserve">Implementation Timeline: Tehran Execution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Plan</w:t>
            </w:r>
          </w:p>
        </w:tc>
      </w:tr>
      <w:tr>
        <w:tc>
          <w:tcPr/>
          <w:p>
            <w:pPr>
              <w:pStyle w:val="Compact"/>
              <w:jc w:val="left"/>
            </w:pPr>
            <w:r>
              <w:t xml:space="preserve">Q1 2024</w:t>
            </w:r>
          </w:p>
        </w:tc>
        <w:tc>
          <w:tcPr/>
          <w:p>
            <w:pPr>
              <w:pStyle w:val="Compact"/>
              <w:jc w:val="left"/>
            </w:pPr>
            <w:r>
              <w:t xml:space="preserve">Finalize MOUs with 30 Tehran schools; Launch Math Bus pilot at Tehran University campus</w:t>
            </w:r>
          </w:p>
        </w:tc>
      </w:tr>
      <w:tr>
        <w:tc>
          <w:tcPr/>
          <w:p>
            <w:pPr>
              <w:pStyle w:val="Compact"/>
              <w:jc w:val="left"/>
            </w:pPr>
            <w:r>
              <w:t xml:space="preserve">Q3 2024</w:t>
            </w:r>
          </w:p>
        </w:tc>
        <w:tc>
          <w:tcPr/>
          <w:p>
            <w:pPr>
              <w:pStyle w:val="Compact"/>
              <w:jc w:val="left"/>
            </w:pPr>
            <w:r>
              <w:t xml:space="preserve">Release Farsi version with local context content; Partner with Iranian Mathematics Society for curriculum validation</w:t>
            </w:r>
          </w:p>
        </w:tc>
      </w:tr>
      <w:tr>
        <w:tc>
          <w:tcPr/>
          <w:p>
            <w:pPr>
              <w:pStyle w:val="Compact"/>
              <w:jc w:val="left"/>
            </w:pPr>
            <w:r>
              <w:t xml:space="preserve">Q1 2025</w:t>
            </w:r>
          </w:p>
        </w:tc>
        <w:tc>
          <w:tcPr/>
          <w:p>
            <w:pPr>
              <w:pStyle w:val="Compact"/>
              <w:jc w:val="left"/>
            </w:pPr>
            <w:r>
              <w:t xml:space="preserve">Scale to 50 schools; Host first "Tehran Math Festival" at Niavaran Palace grounds</w:t>
            </w:r>
          </w:p>
        </w:tc>
      </w:tr>
      <w:tr>
        <w:tc>
          <w:tcPr/>
          <w:p>
            <w:pPr>
              <w:pStyle w:val="Compact"/>
              <w:jc w:val="left"/>
            </w:pPr>
            <w:r>
              <w:t xml:space="preserve">Q4 2025</w:t>
            </w:r>
          </w:p>
        </w:tc>
        <w:tc>
          <w:tcPr/>
          <w:p>
            <w:pPr>
              <w:pStyle w:val="Compact"/>
              <w:jc w:val="left"/>
            </w:pPr>
            <w:r>
              <w:t xml:space="preserve">Achieve 10,000 active users in Tehran; Secure Ministry of Education endorsement for national use</w:t>
            </w:r>
          </w:p>
        </w:tc>
      </w:tr>
    </w:tbl>
    <w:bookmarkEnd w:id="29"/>
    <w:bookmarkStart w:id="30" w:name="budget-allocation-iran-tehran-focus"/>
    <w:p>
      <w:pPr>
        <w:pStyle w:val="Heading2"/>
      </w:pPr>
      <w:r>
        <w:t xml:space="preserve">Budget Allocation: Iran Tehran Focus</w:t>
      </w:r>
    </w:p>
    <w:p>
      <w:pPr>
        <w:pStyle w:val="FirstParagraph"/>
      </w:pPr>
      <w:r>
        <w:t xml:space="preserve">Total Budget: $850,000 (Year 1)</w:t>
      </w:r>
    </w:p>
    <w:p>
      <w:pPr>
        <w:numPr>
          <w:ilvl w:val="0"/>
          <w:numId w:val="1007"/>
        </w:numPr>
        <w:pStyle w:val="Compact"/>
      </w:pPr>
      <w:r>
        <w:rPr>
          <w:bCs/>
          <w:b/>
        </w:rPr>
        <w:t xml:space="preserve">Product Localization (35%)</w:t>
      </w:r>
      <w:r>
        <w:t xml:space="preserve">: 39% of budget for Farsi content development and Islamic ethics integration</w:t>
      </w:r>
    </w:p>
    <w:p>
      <w:pPr>
        <w:numPr>
          <w:ilvl w:val="0"/>
          <w:numId w:val="1007"/>
        </w:numPr>
        <w:pStyle w:val="Compact"/>
      </w:pPr>
      <w:r>
        <w:rPr>
          <w:bCs/>
          <w:b/>
        </w:rPr>
        <w:t xml:space="preserve">Tehran Physical Presence (28%)</w:t>
      </w:r>
      <w:r>
        <w:t xml:space="preserve">: Hubs, Math Bus operations, and local staff salaries</w:t>
      </w:r>
    </w:p>
    <w:p>
      <w:pPr>
        <w:numPr>
          <w:ilvl w:val="0"/>
          <w:numId w:val="1007"/>
        </w:numPr>
        <w:pStyle w:val="Compact"/>
      </w:pPr>
      <w:r>
        <w:rPr>
          <w:bCs/>
          <w:b/>
        </w:rPr>
        <w:t xml:space="preserve">Institutional Partnerships (20%)</w:t>
      </w:r>
      <w:r>
        <w:t xml:space="preserve">: School licensing agreements and university collaboration costs</w:t>
      </w:r>
    </w:p>
    <w:p>
      <w:pPr>
        <w:numPr>
          <w:ilvl w:val="0"/>
          <w:numId w:val="1007"/>
        </w:numPr>
        <w:pStyle w:val="Compact"/>
      </w:pPr>
      <w:r>
        <w:rPr>
          <w:bCs/>
          <w:b/>
        </w:rPr>
        <w:t xml:space="preserve">Community Marketing (17%)</w:t>
      </w:r>
      <w:r>
        <w:t xml:space="preserve">: Localized social campaigns, festival hosting, religious center partnerships</w:t>
      </w:r>
    </w:p>
    <w:bookmarkEnd w:id="30"/>
    <w:bookmarkStart w:id="31" w:name="Xd44ffa3f3ef9a736fc9a01769088c1bab1d20a9"/>
    <w:p>
      <w:pPr>
        <w:pStyle w:val="Heading2"/>
      </w:pPr>
      <w:r>
        <w:t xml:space="preserve">Evaluation Metrics: Measuring Success in Iran Tehran</w:t>
      </w:r>
    </w:p>
    <w:p>
      <w:pPr>
        <w:pStyle w:val="FirstParagraph"/>
      </w:pPr>
      <w:r>
        <w:t xml:space="preserve">We track progress through culturally relevant KPIs:</w:t>
      </w:r>
    </w:p>
    <w:p>
      <w:pPr>
        <w:numPr>
          <w:ilvl w:val="0"/>
          <w:numId w:val="1008"/>
        </w:numPr>
        <w:pStyle w:val="Compact"/>
      </w:pPr>
      <w:r>
        <w:t xml:space="preserve">Student Engagement: Average session duration (target: 45+ minutes) and Konkoor exam score improvement rates</w:t>
      </w:r>
    </w:p>
    <w:p>
      <w:pPr>
        <w:numPr>
          <w:ilvl w:val="0"/>
          <w:numId w:val="1008"/>
        </w:numPr>
        <w:pStyle w:val="Compact"/>
      </w:pPr>
      <w:r>
        <w:t xml:space="preserve">Tehran Market Penetration: User acquisition cost per district (e.g., Sa'adat Abad vs. Shemiran)</w:t>
      </w:r>
    </w:p>
    <w:p>
      <w:pPr>
        <w:numPr>
          <w:ilvl w:val="0"/>
          <w:numId w:val="1008"/>
        </w:numPr>
        <w:pStyle w:val="Compact"/>
      </w:pPr>
      <w:r>
        <w:t xml:space="preserve">Cultural Acceptance: Religious institution partnership rates and parent satisfaction surveys</w:t>
      </w:r>
    </w:p>
    <w:p>
      <w:pPr>
        <w:numPr>
          <w:ilvl w:val="0"/>
          <w:numId w:val="1008"/>
        </w:numPr>
        <w:pStyle w:val="Compact"/>
      </w:pPr>
      <w:r>
        <w:t xml:space="preserve">Brand Equity: Mentions in Tehran media ("Mathematician" featured in Tehran Times education section)</w:t>
      </w:r>
    </w:p>
    <w:p>
      <w:pPr>
        <w:pStyle w:val="FirstParagraph"/>
      </w:pPr>
      <w:r>
        <w:t xml:space="preserve">Bi-annual sentiment analysis using Persian-language social media monitoring tools will ensure continuous adaptation to Tehran's evolving educational needs.</w:t>
      </w:r>
    </w:p>
    <w:bookmarkEnd w:id="31"/>
    <w:bookmarkStart w:id="32" w:name="conclusion"/>
    <w:p>
      <w:pPr>
        <w:pStyle w:val="Heading2"/>
      </w:pPr>
      <w:r>
        <w:t xml:space="preserve">Conclusion</w:t>
      </w:r>
    </w:p>
    <w:p>
      <w:pPr>
        <w:pStyle w:val="FirstParagraph"/>
      </w:pPr>
      <w:r>
        <w:t xml:space="preserve">The Mathematician Marketing Plan strategically positions our service as indispensable for Tehran's education ecosystem. By deeply integrating with Iran's cultural fabric—respecting religious values, leveraging local academic institutions, and addressing Tehran-specific learning gaps—we move beyond generic edtech to become the trusted mathematical authority in Iran. This plan ensures Mathematician doesn't just enter the market but transforms how mathematics is taught and embraced across Tehran's 20 million educational touchpoints. Our success will be measured not only in user growth but in fostering a new generation of Iranian mathematicians who see their heritage as the foundation for mathematical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Iran Tehran</dc:title>
  <dc:creator/>
  <dc:language>en</dc:language>
  <cp:keywords/>
  <dcterms:created xsi:type="dcterms:W3CDTF">2026-07-17T17:41:03Z</dcterms:created>
  <dcterms:modified xsi:type="dcterms:W3CDTF">2026-07-17T17:41:03Z</dcterms:modified>
</cp:coreProperties>
</file>

<file path=docProps/custom.xml><?xml version="1.0" encoding="utf-8"?>
<Properties xmlns="http://schemas.openxmlformats.org/officeDocument/2006/custom-properties" xmlns:vt="http://schemas.openxmlformats.org/officeDocument/2006/docPropsVTypes"/>
</file>