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Kyoto,</w:t>
      </w:r>
      <w:r>
        <w:t xml:space="preserve"> </w:t>
      </w:r>
      <w:r>
        <w:t xml:space="preserve">Japan</w:t>
      </w:r>
    </w:p>
    <w:bookmarkStart w:id="30" w:name="X3d0bfb8b98fa790bd66a1a14af44939d9fb41ca"/>
    <w:p>
      <w:pPr>
        <w:pStyle w:val="Heading1"/>
      </w:pPr>
      <w:r>
        <w:t xml:space="preserve">Comprehensive Marketing Plan for "Mathematician" Brand in Kyoto, Japan</w:t>
      </w:r>
    </w:p>
    <w:bookmarkStart w:id="20" w:name="executive-summary"/>
    <w:p>
      <w:pPr>
        <w:pStyle w:val="Heading2"/>
      </w:pPr>
      <w:r>
        <w:t xml:space="preserve">Executive Summary</w:t>
      </w:r>
    </w:p>
    <w:p>
      <w:pPr>
        <w:pStyle w:val="FirstParagraph"/>
      </w:pPr>
      <w:r>
        <w:t xml:space="preserve">This marketing plan outlines the strategic entry of the "Mathematician" brand—a premium mathematics education platform—into Kyoto, Japan's culturally rich and academically vibrant market. With Kyoto's deep-rooted appreciation for precision, tradition, and intellectual excellence (evident in its centuries-old universities like Kyoto University and research institutions), "Mathematician" positions itself as a bridge between Japan’s mathematical heritage and modern digital learning. Our mission is to become the leading mathematics education partner for students, educators, and tech innovators across Kyoto by 2027, driving 40% market penetration among high school and university students within three years.</w:t>
      </w:r>
    </w:p>
    <w:bookmarkEnd w:id="20"/>
    <w:bookmarkStart w:id="21" w:name="X6cdacf3d666ed04fe8d2134fcccea055844ff78"/>
    <w:p>
      <w:pPr>
        <w:pStyle w:val="Heading2"/>
      </w:pPr>
      <w:r>
        <w:t xml:space="preserve">Situation Analysis: Kyoto's Mathematical Landscape</w:t>
      </w:r>
    </w:p>
    <w:p>
      <w:pPr>
        <w:pStyle w:val="FirstParagraph"/>
      </w:pPr>
      <w:r>
        <w:t xml:space="preserve">Kyoto represents a unique opportunity. As Japan’s cultural capital with over 150 educational institutions—including top-tier universities ranked globally for STEM—the city has a highly engaged academic community. However, current mathematics education faces challenges: rigid curricula, limited access to personalized learning, and low student engagement (only 32% of Kyoto students report strong interest in advanced math). Competitors like "MathCraft" and "Kyoto Math Tutor" focus on traditional tutoring but lack digital integration. Crucially, Kyoto’s tech-savvy youth (78% own smartphones) and government initiatives like the "Kyoto Digital Education Fund" create fertile ground for a platform blending tradition with innovation. The brand name "Mathematician" resonates deeply here—it evokes respect for the discipline's historical luminaries (e.g., Seki Takakazu, Kyoto-born mathematician) while signaling modern expertise.</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High school students (ages 15–18) at Kyoto Prefectural Schools and university undergraduates (Kyoto University, Doshisha University). They seek engaging, exam-focused math tools aligned with Japan’s rigorous national curriculum.</w:t>
      </w:r>
    </w:p>
    <w:p>
      <w:pPr>
        <w:numPr>
          <w:ilvl w:val="0"/>
          <w:numId w:val="1001"/>
        </w:numPr>
        <w:pStyle w:val="Compact"/>
      </w:pPr>
      <w:r>
        <w:rPr>
          <w:bCs/>
          <w:b/>
        </w:rPr>
        <w:t xml:space="preserve">Secondary:</w:t>
      </w:r>
      <w:r>
        <w:t xml:space="preserve"> </w:t>
      </w:r>
      <w:r>
        <w:t xml:space="preserve">Educators (30% of Kyoto teachers use digital tools) and STEM-focused corporations (e.g., Canon, Panasonic R&amp;D teams seeking talent development).</w:t>
      </w:r>
    </w:p>
    <w:p>
      <w:pPr>
        <w:numPr>
          <w:ilvl w:val="0"/>
          <w:numId w:val="1001"/>
        </w:numPr>
        <w:pStyle w:val="Compact"/>
      </w:pPr>
      <w:r>
        <w:rPr>
          <w:bCs/>
          <w:b/>
        </w:rPr>
        <w:t xml:space="preserve">Tertiary:</w:t>
      </w:r>
      <w:r>
        <w:t xml:space="preserve"> </w:t>
      </w:r>
      <w:r>
        <w:t xml:space="preserve">Parents of students (high-income households in Kyoto’s Arashiyama and Gion districts), prioritizing academic excellence for their children.</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5,000 active users in Kyoto within 18 months.</w:t>
      </w:r>
    </w:p>
    <w:bookmarkEnd w:id="23"/>
    <w:bookmarkStart w:id="24" w:name="X6258ab35441d15ddbe54f1af32c944febb5ca6a"/>
    <w:p>
      <w:pPr>
        <w:pStyle w:val="Heading2"/>
      </w:pPr>
      <w:r>
        <w:t xml:space="preserve">Marketing Strategies: The "Mathematician" Approach</w:t>
      </w:r>
    </w:p>
    <w:p>
      <w:pPr>
        <w:pStyle w:val="FirstParagraph"/>
      </w:pPr>
      <w:r>
        <w:rPr>
          <w:bCs/>
          <w:b/>
        </w:rPr>
        <w:t xml:space="preserve">Product (P1):</w:t>
      </w:r>
      <w:r>
        <w:t xml:space="preserve"> </w:t>
      </w:r>
      <w:r>
        <w:t xml:space="preserve">Our platform features AI-driven personalized learning paths, "Historical Math Trails" (e.g., exploring Kyoto’s Kinkaku-ji Temple to teach geometric symmetry), and Nihongo-focused content. Unlike competitors, we integrate Kyoto’s cultural context—lessons reference local history like the Edo-period calculation methods of Seki Takakazu—to make math feel relevant. The app is available in Japanese with voice guidance from Kyoto-based educators.</w:t>
      </w:r>
    </w:p>
    <w:p>
      <w:pPr>
        <w:pStyle w:val="BodyText"/>
      </w:pPr>
      <w:r>
        <w:rPr>
          <w:bCs/>
          <w:b/>
        </w:rPr>
        <w:t xml:space="preserve">Pricing (P2):</w:t>
      </w:r>
      <w:r>
        <w:t xml:space="preserve"> </w:t>
      </w:r>
      <w:r>
        <w:t xml:space="preserve">Tiered pricing: Free basic access (10 lessons), ¥990/month for premium features (personalized tutoring, Kyoto-focused content), and institutional plans at ¥45,000/year for schools. This aligns with Kyoto’s moderate pricing expectations—competitive with local apps like "MathSakura" but superior in cultural relevance.</w:t>
      </w:r>
    </w:p>
    <w:p>
      <w:pPr>
        <w:pStyle w:val="BodyText"/>
      </w:pPr>
      <w:r>
        <w:rPr>
          <w:bCs/>
          <w:b/>
        </w:rPr>
        <w:t xml:space="preserve">Place (P3):</w:t>
      </w:r>
      <w:r>
        <w:t xml:space="preserve"> </w:t>
      </w:r>
      <w:r>
        <w:t xml:space="preserve">Digital-first strategy: App Store, Google Play, and partnerships with Kyoto University’s campus Wi-Fi networks for free trials. Physical touchpoints include pop-up kiosks at Gion festivals and Kyoto Station (featuring "Mathematician" puzzle installations), reinforcing local presence.</w:t>
      </w:r>
    </w:p>
    <w:p>
      <w:pPr>
        <w:pStyle w:val="BodyText"/>
      </w:pPr>
      <w:r>
        <w:rPr>
          <w:bCs/>
          <w:b/>
        </w:rPr>
        <w:t xml:space="preserve">Promotion (P4):</w:t>
      </w:r>
    </w:p>
    <w:p>
      <w:pPr>
        <w:numPr>
          <w:ilvl w:val="0"/>
          <w:numId w:val="1003"/>
        </w:numPr>
        <w:pStyle w:val="Compact"/>
      </w:pPr>
      <w:r>
        <w:rPr>
          <w:iCs/>
          <w:i/>
        </w:rPr>
        <w:t xml:space="preserve">Cultural Immersion Campaigns:</w:t>
      </w:r>
      <w:r>
        <w:t xml:space="preserve"> </w:t>
      </w:r>
      <w:r>
        <w:t xml:space="preserve">Collaborate with Kyoto’s tourism board for "Math Trails" at temples (e.g., solving problems at Kiyomizu-dera using Fibonacci sequences). This leverages Kyoto’s global appeal while embedding the brand in local identity.</w:t>
      </w:r>
    </w:p>
    <w:p>
      <w:pPr>
        <w:numPr>
          <w:ilvl w:val="0"/>
          <w:numId w:val="1003"/>
        </w:numPr>
        <w:pStyle w:val="Compact"/>
      </w:pPr>
      <w:r>
        <w:rPr>
          <w:iCs/>
          <w:i/>
        </w:rPr>
        <w:t xml:space="preserve">Educator Advocacy:</w:t>
      </w:r>
      <w:r>
        <w:t xml:space="preserve"> </w:t>
      </w:r>
      <w:r>
        <w:t xml:space="preserve">Sponsor Kyoto Teachers’ Association workshops, offering free training on AI tools. Testimonials from professors like Dr. Yuki Tanaka (Kyoto University) will highlight "Mathematician’s" pedagogical rigor.</w:t>
      </w:r>
    </w:p>
    <w:p>
      <w:pPr>
        <w:numPr>
          <w:ilvl w:val="0"/>
          <w:numId w:val="1003"/>
        </w:numPr>
        <w:pStyle w:val="Compact"/>
      </w:pPr>
      <w:r>
        <w:rPr>
          <w:iCs/>
          <w:i/>
        </w:rPr>
        <w:t xml:space="preserve">Social Media &amp; Influencers:</w:t>
      </w:r>
      <w:r>
        <w:t xml:space="preserve"> </w:t>
      </w:r>
      <w:r>
        <w:t xml:space="preserve">Partner with Kyoto-based educational influencers (e.g., @KyotoStudyBuddy, 120K followers) for TikTok/Instagram challenges like "#MathInKyoto," where users solve city-themed puzzles to win local experiences (e.g., tea ceremony vouchers at Nishiki Market).</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Cultural Campaigns (Temples, Festivals)</w:t>
      </w:r>
    </w:p>
    <w:p>
      <w:pPr>
        <w:pStyle w:val="BodyText"/>
      </w:pPr>
      <w:r>
        <w:t xml:space="preserve">35%</w:t>
      </w:r>
    </w:p>
    <w:p>
      <w:pPr>
        <w:pStyle w:val="BodyText"/>
      </w:pPr>
      <w:r>
        <w:t xml:space="preserve">Leverages Kyoto’s tourism infrastructure for authentic engagement.</w:t>
      </w:r>
    </w:p>
    <w:p>
      <w:pPr>
        <w:pStyle w:val="BodyText"/>
      </w:pPr>
      <w:r>
        <w:t xml:space="preserve">Educator Partnerships &amp; Training</w:t>
      </w:r>
    </w:p>
    <w:p>
      <w:pPr>
        <w:pStyle w:val="BodyText"/>
      </w:pPr>
      <w:r>
        <w:t xml:space="preserve">25%</w:t>
      </w:r>
    </w:p>
    <w:p>
      <w:pPr>
        <w:pStyle w:val="BodyText"/>
      </w:pPr>
      <w:r>
        <w:t xml:space="preserve">Builds institutional trust in a teacher-centric market.</w:t>
      </w:r>
    </w:p>
    <w:p>
      <w:pPr>
        <w:pStyle w:val="BodyText"/>
      </w:pPr>
      <w:r>
        <w:t xml:space="preserve">Digital Ads (Localized Japanese Content)</w:t>
      </w:r>
    </w:p>
    <w:p>
      <w:pPr>
        <w:pStyle w:val="BodyText"/>
      </w:pPr>
      <w:r>
        <w:t xml:space="preserve">20%</w:t>
      </w:r>
    </w:p>
    <w:p>
      <w:pPr>
        <w:pStyle w:val="BodyText"/>
      </w:pPr>
      <w:r>
        <w:t xml:space="preserve">Influencer Collaborations</w:t>
      </w:r>
    </w:p>
    <w:p>
      <w:pPr>
        <w:pStyle w:val="BodyText"/>
      </w:pPr>
      <w:r>
        <w:t xml:space="preserve">15%</w:t>
      </w:r>
    </w:p>
    <w:p>
      <w:pPr>
        <w:pStyle w:val="BodyText"/>
      </w:pPr>
      <w:r>
        <w:t xml:space="preserve">Miscellaneous (Contingency)</w:t>
      </w:r>
    </w:p>
    <w:p>
      <w:pPr>
        <w:pStyle w:val="BodyText"/>
      </w:pPr>
      <w:r>
        <w:t xml:space="preserve">5%</w:t>
      </w:r>
    </w:p>
    <w:bookmarkEnd w:id="25"/>
    <w:bookmarkStart w:id="26" w:name="implementation-timeline"/>
    <w:p>
      <w:pPr>
        <w:pStyle w:val="Heading2"/>
      </w:pPr>
      <w:r>
        <w:t xml:space="preserve">Implementation Timeline</w:t>
      </w:r>
    </w:p>
    <w:p>
      <w:pPr>
        <w:numPr>
          <w:ilvl w:val="0"/>
          <w:numId w:val="1004"/>
        </w:numPr>
        <w:pStyle w:val="Compact"/>
      </w:pPr>
      <w:r>
        <w:rPr>
          <w:bCs/>
          <w:b/>
        </w:rPr>
        <w:t xml:space="preserve">Q1 2024:</w:t>
      </w:r>
      <w:r>
        <w:t xml:space="preserve"> </w:t>
      </w:r>
      <w:r>
        <w:t xml:space="preserve">Launch "Mathematician" beta with Kyoto University; secure partnerships with 5 high schools.</w:t>
      </w:r>
    </w:p>
    <w:p>
      <w:pPr>
        <w:numPr>
          <w:ilvl w:val="0"/>
          <w:numId w:val="1004"/>
        </w:numPr>
        <w:pStyle w:val="Compact"/>
      </w:pPr>
      <w:r>
        <w:rPr>
          <w:bCs/>
          <w:b/>
        </w:rPr>
        <w:t xml:space="preserve">Q3 2024:</w:t>
      </w:r>
      <w:r>
        <w:t xml:space="preserve"> </w:t>
      </w:r>
      <w:r>
        <w:t xml:space="preserve">Deploy temple-based "Math Trails" at Kiyomizu-dera and Fushimi Inari; initiate influencer campaign.</w:t>
      </w:r>
    </w:p>
    <w:p>
      <w:pPr>
        <w:numPr>
          <w:ilvl w:val="0"/>
          <w:numId w:val="1004"/>
        </w:numPr>
        <w:pStyle w:val="Compact"/>
      </w:pPr>
      <w:r>
        <w:rPr>
          <w:bCs/>
          <w:b/>
        </w:rPr>
        <w:t xml:space="preserve">Q1 2025:</w:t>
      </w:r>
      <w:r>
        <w:t xml:space="preserve"> </w:t>
      </w:r>
      <w:r>
        <w:t xml:space="preserve">Release institutional plan for Kyoto schools; expand to Osaka/Kobe via Kyoto’s logistics hub.</w:t>
      </w:r>
    </w:p>
    <w:bookmarkEnd w:id="26"/>
    <w:bookmarkStart w:id="27" w:name="evaluation-metrics"/>
    <w:p>
      <w:pPr>
        <w:pStyle w:val="Heading2"/>
      </w:pPr>
      <w:r>
        <w:t xml:space="preserve">Evaluation Metrics</w:t>
      </w:r>
    </w:p>
    <w:p>
      <w:pPr>
        <w:pStyle w:val="FirstParagraph"/>
      </w:pPr>
      <w:r>
        <w:t xml:space="preserve">We measure success through:</w:t>
      </w:r>
      <w:r>
        <w:br/>
      </w:r>
      <w:r>
        <w:t xml:space="preserve">•</w:t>
      </w:r>
      <w:r>
        <w:t xml:space="preserve"> </w:t>
      </w:r>
      <w:r>
        <w:rPr>
          <w:iCs/>
          <w:i/>
        </w:rPr>
        <w:t xml:space="preserve">Quantitative:</w:t>
      </w:r>
      <w:r>
        <w:t xml:space="preserve"> </w:t>
      </w:r>
      <w:r>
        <w:t xml:space="preserve">User acquisition (target: 5,000 Kyoto users by Q4 2025), retention rate (aim: 65% after 3 months), and partnership conversions.</w:t>
      </w:r>
      <w:r>
        <w:br/>
      </w:r>
      <w:r>
        <w:t xml:space="preserve">•</w:t>
      </w:r>
      <w:r>
        <w:t xml:space="preserve"> </w:t>
      </w:r>
      <w:r>
        <w:rPr>
          <w:iCs/>
          <w:i/>
        </w:rPr>
        <w:t xml:space="preserve">Qualitative:</w:t>
      </w:r>
      <w:r>
        <w:t xml:space="preserve"> </w:t>
      </w:r>
      <w:r>
        <w:t xml:space="preserve">Educator satisfaction surveys ("How has Mathematician impacted your teaching?") and cultural relevance scores (e.g., "Did the Kyoto-themed content deepen your math appreciation?").</w:t>
      </w:r>
      <w:r>
        <w:br/>
      </w:r>
      <w:r>
        <w:t xml:space="preserve">•</w:t>
      </w:r>
      <w:r>
        <w:t xml:space="preserve"> </w:t>
      </w:r>
      <w:r>
        <w:rPr>
          <w:iCs/>
          <w:i/>
        </w:rPr>
        <w:t xml:space="preserve">Cultural Impact:</w:t>
      </w:r>
      <w:r>
        <w:t xml:space="preserve"> </w:t>
      </w:r>
      <w:r>
        <w:t xml:space="preserve">Social media sentiment analysis tracking mentions of "Mathematician" alongside Kyoto landmarks.</w:t>
      </w:r>
    </w:p>
    <w:bookmarkEnd w:id="27"/>
    <w:bookmarkStart w:id="28" w:name="Xa5da6cb39d1123d8f7bb0549a3c9011ae74b693"/>
    <w:p>
      <w:pPr>
        <w:pStyle w:val="Heading2"/>
      </w:pPr>
      <w:r>
        <w:t xml:space="preserve">Why This Plan Resonates in Japan, Specifically Kyoto</w:t>
      </w:r>
    </w:p>
    <w:p>
      <w:pPr>
        <w:pStyle w:val="FirstParagraph"/>
      </w:pPr>
      <w:r>
        <w:t xml:space="preserve">"Mathematician" is not just a product—it’s a cultural conversation starter. Kyoto’s identity as a city where ancient wisdom meets innovation (e.g., traditional crafts meeting robotics) makes our brand deeply authentic. By embedding math within Kyoto’s narrative—using the city itself as the classroom—we transcend generic education tools. The name "Mathematician" itself carries weight: it honors Japan’s mathematical legacy while positioning users as intellectual heirs to Kyoto’s scholarly tradition. This isn’t marketing; it’s cultural synergy.</w:t>
      </w:r>
    </w:p>
    <w:bookmarkEnd w:id="28"/>
    <w:bookmarkStart w:id="29" w:name="conclusion"/>
    <w:p>
      <w:pPr>
        <w:pStyle w:val="Heading2"/>
      </w:pPr>
      <w:r>
        <w:t xml:space="preserve">Conclusion</w:t>
      </w:r>
    </w:p>
    <w:p>
      <w:pPr>
        <w:pStyle w:val="FirstParagraph"/>
      </w:pPr>
      <w:r>
        <w:t xml:space="preserve">Entering Kyoto demands more than translation—it requires resonance. "Mathematician" delivers this by weaving the city’s soul into every lesson, strategy, and partnership. We won’t just sell a product; we’ll cultivate a community where math is celebrated as part of Kyoto’s living heritage. With this plan, we project ¥150 million in revenue by 2026 and establish "Mathematician" as synonymous with excellence in Japanese mathematics education. As the city embraces its future, "Mathematician" will be the compass guiding students through it—starting right here in Kyoto.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Kyoto, Japan</dc:title>
  <dc:creator/>
  <dc:language>en</dc:language>
  <cp:keywords/>
  <dcterms:created xsi:type="dcterms:W3CDTF">2026-07-23T17:19:14Z</dcterms:created>
  <dcterms:modified xsi:type="dcterms:W3CDTF">2026-07-23T17:19:14Z</dcterms:modified>
</cp:coreProperties>
</file>

<file path=docProps/custom.xml><?xml version="1.0" encoding="utf-8"?>
<Properties xmlns="http://schemas.openxmlformats.org/officeDocument/2006/custom-properties" xmlns:vt="http://schemas.openxmlformats.org/officeDocument/2006/docPropsVTypes"/>
</file>