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X3c34bbae5b0316b36501704dea586258151419e"/>
    <w:p>
      <w:pPr>
        <w:pStyle w:val="Heading1"/>
      </w:pPr>
      <w:r>
        <w:t xml:space="preserve">Comprehensive Marketing Plan for "Mathematician" Service Launch in Japan Osaka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entry of the innovative educational platform "Mathematician" into Osaka's education market. As Japan's economic and technological hub, Osaka presents a unique opportunity to address critical gaps in mathematics education through our AI-driven learning system. The plan details market analysis, target audience segmentation, and phased implementation tactics specifically designed for Osaka's educational ecosystem. Our goal is to achieve 15% market penetration among secondary schools in Osaka Prefecture within 24 months while positioning "Mathematician" as the premier mathematics education solution in Japan.</w:t>
      </w:r>
    </w:p>
    <w:bookmarkEnd w:id="20"/>
    <w:bookmarkStart w:id="21" w:name="situation-analysis-osaka-market-context"/>
    <w:p>
      <w:pPr>
        <w:pStyle w:val="Heading2"/>
      </w:pPr>
      <w:r>
        <w:t xml:space="preserve">Situation Analysis: Osaka Market Context</w:t>
      </w:r>
    </w:p>
    <w:p>
      <w:pPr>
        <w:pStyle w:val="FirstParagraph"/>
      </w:pPr>
      <w:r>
        <w:t xml:space="preserve">Osaka's education sector faces mounting challenges: 68% of junior high students report math anxiety (MEXT 2023), and traditional teaching methods struggle to meet diverse learning paces. The Osaka Board of Education has prioritized STEM innovation, recently allocating ¥15 billion for digital education tools in public schools. Crucially, this aligns perfectly with our "Mathematician" platform's core functionality – adaptive AI tutors that personalize math instruction using real-time progress data.</w:t>
      </w:r>
    </w:p>
    <w:p>
      <w:pPr>
        <w:pStyle w:val="BodyText"/>
      </w:pPr>
      <w:r>
        <w:t xml:space="preserve">The competitive landscape reveals significant opportunity: While global edtech players like Khan Academy have limited Japanese language support, local tools lack AI sophistication. "Mathematician" differentiates through its bilingual (Japanese/English) interface and culturally tailored problem sets reflecting Osaka's academic standards. This strategic positioning makes our Marketing Plan uniquely suited for Japan Osaka's educational environment.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segments in Osaka are: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Educators (65% of target):</w:t>
      </w:r>
      <w:r>
        <w:t xml:space="preserve"> </w:t>
      </w:r>
      <w:r>
        <w:t xml:space="preserve">Secondary school math teachers facing overcrowded curricula and varying student abilities. They seek tools to reduce grading time while improving outcomes.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Parents (25%):</w:t>
      </w:r>
      <w:r>
        <w:t xml:space="preserve"> </w:t>
      </w:r>
      <w:r>
        <w:t xml:space="preserve">Osaka parents with children in Grades 7-9 actively seeking supplemental learning solutions after school hours.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Institutions (10%):</w:t>
      </w:r>
      <w:r>
        <w:t xml:space="preserve"> </w:t>
      </w:r>
      <w:r>
        <w:t xml:space="preserve">Osaka municipal boards and private academies (juku) aiming for STEM accreditation.</w:t>
      </w:r>
    </w:p>
    <w:bookmarkEnd w:id="22"/>
    <w:bookmarkStart w:id="23" w:name="marketing-goals-objectives"/>
    <w:p>
      <w:pPr>
        <w:pStyle w:val="Heading2"/>
      </w:pPr>
      <w:r>
        <w:t xml:space="preserve">Marketing Goals &amp; Objectives</w:t>
      </w:r>
    </w:p>
    <w:p>
      <w:pPr>
        <w:pStyle w:val="FirstParagraph"/>
      </w:pPr>
      <w:r>
        <w:t xml:space="preserve">Specific, measurable targets for Japan Osaka implementation:</w:t>
      </w:r>
    </w:p>
    <w:p>
      <w:pPr>
        <w:numPr>
          <w:ilvl w:val="0"/>
          <w:numId w:val="1002"/>
        </w:numPr>
        <w:pStyle w:val="Compact"/>
      </w:pPr>
      <w:r>
        <w:t xml:space="preserve">Secure 50 pilot agreements with Osaka public schools within 12 months</w:t>
      </w:r>
    </w:p>
    <w:p>
      <w:pPr>
        <w:numPr>
          <w:ilvl w:val="0"/>
          <w:numId w:val="1002"/>
        </w:numPr>
        <w:pStyle w:val="Compact"/>
      </w:pPr>
      <w:r>
        <w:t xml:space="preserve">Achieve 3,000 active student users in Osaka by Q3 2025</w:t>
      </w:r>
    </w:p>
    <w:p>
      <w:pPr>
        <w:numPr>
          <w:ilvl w:val="0"/>
          <w:numId w:val="1002"/>
        </w:numPr>
        <w:pStyle w:val="Compact"/>
      </w:pPr>
      <w:r>
        <w:t xml:space="preserve">Attain 85% teacher satisfaction rate in Osaka pilot programs (measured via post-implementation surveys)</w:t>
      </w:r>
    </w:p>
    <w:p>
      <w:pPr>
        <w:numPr>
          <w:ilvl w:val="0"/>
          <w:numId w:val="1002"/>
        </w:numPr>
        <w:pStyle w:val="Compact"/>
      </w:pPr>
      <w:r>
        <w:t xml:space="preserve">Generate ¥72 million revenue from Osaka market within first year</w:t>
      </w:r>
    </w:p>
    <w:bookmarkEnd w:id="23"/>
    <w:bookmarkStart w:id="27" w:name="X30ece3dcf920fac87175b05da0bdc68e28cc09e"/>
    <w:p>
      <w:pPr>
        <w:pStyle w:val="Heading2"/>
      </w:pPr>
      <w:r>
        <w:t xml:space="preserve">Core Marketing Strategies for Japan Osaka</w:t>
      </w:r>
    </w:p>
    <w:p>
      <w:pPr>
        <w:pStyle w:val="FirstParagraph"/>
      </w:pPr>
      <w:r>
        <w:t xml:space="preserve">Our Marketing Plan employs a hyper-localized approach tailored to Osaka's cultural context:</w:t>
      </w:r>
    </w:p>
    <w:bookmarkStart w:id="24" w:name="culturally-adapted-product-positioning"/>
    <w:p>
      <w:pPr>
        <w:pStyle w:val="Heading3"/>
      </w:pPr>
      <w:r>
        <w:t xml:space="preserve">1. Culturally Adapted Product Positioning</w:t>
      </w:r>
    </w:p>
    <w:p>
      <w:pPr>
        <w:pStyle w:val="FirstParagraph"/>
      </w:pPr>
      <w:r>
        <w:t xml:space="preserve">"Mathematician" will feature Osaka-specific case studies: Lessons incorporating local landmarks (e.g., math problems using Dotonbori crowd patterns) and culturally relevant examples. The Japanese interface includes Osaka dialect pronunciation options for explanations – a first in edtech. This localization strategy directly addresses Japan Osaka's preference for contextually embedded learning.</w:t>
      </w:r>
    </w:p>
    <w:bookmarkEnd w:id="24"/>
    <w:bookmarkStart w:id="25" w:name="strategic-partner-ecosystem"/>
    <w:p>
      <w:pPr>
        <w:pStyle w:val="Heading3"/>
      </w:pPr>
      <w:r>
        <w:t xml:space="preserve">2. Strategic Partner Ecosystem</w:t>
      </w:r>
    </w:p>
    <w:p>
      <w:pPr>
        <w:pStyle w:val="FirstParagraph"/>
      </w:pPr>
      <w:r>
        <w:t xml:space="preserve">We will forge alliances with key Osaka institutions:</w:t>
      </w:r>
    </w:p>
    <w:p>
      <w:pPr>
        <w:numPr>
          <w:ilvl w:val="0"/>
          <w:numId w:val="1003"/>
        </w:numPr>
        <w:pStyle w:val="Compact"/>
      </w:pPr>
      <w:r>
        <w:t xml:space="preserve">Collaborate with Osaka City University's Teacher Training Program for certification credits</w:t>
      </w:r>
    </w:p>
    <w:p>
      <w:pPr>
        <w:numPr>
          <w:ilvl w:val="0"/>
          <w:numId w:val="1003"/>
        </w:numPr>
        <w:pStyle w:val="Compact"/>
      </w:pPr>
      <w:r>
        <w:t xml:space="preserve">Partner with local juku chains (e.g., Kumon Osaka) for integrated learning pathways</w:t>
      </w:r>
    </w:p>
    <w:p>
      <w:pPr>
        <w:numPr>
          <w:ilvl w:val="0"/>
          <w:numId w:val="1003"/>
        </w:numPr>
        <w:pStyle w:val="Compact"/>
      </w:pPr>
      <w:r>
        <w:t xml:space="preserve">Join the "Osaka STEM Initiative" public-private consortium as exclusive digital partner</w:t>
      </w:r>
    </w:p>
    <w:bookmarkEnd w:id="25"/>
    <w:bookmarkStart w:id="26" w:name="community-driven-launch-campaign"/>
    <w:p>
      <w:pPr>
        <w:pStyle w:val="Heading3"/>
      </w:pPr>
      <w:r>
        <w:t xml:space="preserve">3. Community-Driven Launch Campaign</w:t>
      </w:r>
    </w:p>
    <w:p>
      <w:pPr>
        <w:pStyle w:val="FirstParagraph"/>
      </w:pPr>
      <w:r>
        <w:t xml:space="preserve">The "Mathematician Osaka Challenge" will launch during Osaka's annual Science Festival (October 2024), featuring:</w:t>
      </w:r>
    </w:p>
    <w:p>
      <w:pPr>
        <w:numPr>
          <w:ilvl w:val="0"/>
          <w:numId w:val="1004"/>
        </w:numPr>
        <w:pStyle w:val="Compact"/>
      </w:pPr>
      <w:r>
        <w:t xml:space="preserve">Free workshops at Kansai University's Innovation Hub</w:t>
      </w:r>
    </w:p>
    <w:p>
      <w:pPr>
        <w:numPr>
          <w:ilvl w:val="0"/>
          <w:numId w:val="1004"/>
        </w:numPr>
        <w:pStyle w:val="Compact"/>
      </w:pPr>
      <w:r>
        <w:t xml:space="preserve">Student math tournaments with prizes from local businesses (e.g., Dotonbori restaurant vouchers)</w:t>
      </w:r>
    </w:p>
    <w:p>
      <w:pPr>
        <w:numPr>
          <w:ilvl w:val="0"/>
          <w:numId w:val="1004"/>
        </w:numPr>
        <w:pStyle w:val="Compact"/>
      </w:pPr>
      <w:r>
        <w:t xml:space="preserve">Parent-teacher webinars hosted by Osaka education experts</w:t>
      </w:r>
    </w:p>
    <w:bookmarkEnd w:id="26"/>
    <w:bookmarkEnd w:id="27"/>
    <w:bookmarkStart w:id="28" w:name="X0d2cd3e42d3453011663bab14268ea74ba6346d"/>
    <w:p>
      <w:pPr>
        <w:pStyle w:val="Heading2"/>
      </w:pPr>
      <w:r>
        <w:t xml:space="preserve">Tactical Implementation Timeline: Japan Osaka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 in Osaka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program with 3 Osaka municipal schools; establish Osaka office in Namba district; launch Japanese social media campaigns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Official "Mathematician" launch at Osaka International Conference Center; partner with Osaka Prefecture Education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30 schools; release Osaka-specific math curriculum modules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Osaka's private academy market (juku); initiate corporate sponsorship program with local businesses</w:t>
            </w:r>
          </w:p>
        </w:tc>
      </w:tr>
    </w:tbl>
    <w:bookmarkEnd w:id="28"/>
    <w:bookmarkStart w:id="29" w:name="budget-allocation-for-japan-osaka-market"/>
    <w:p>
      <w:pPr>
        <w:pStyle w:val="Heading2"/>
      </w:pPr>
      <w:r>
        <w:t xml:space="preserve">Budget Allocation for Japan Osaka Market</w:t>
      </w:r>
    </w:p>
    <w:p>
      <w:pPr>
        <w:pStyle w:val="FirstParagraph"/>
      </w:pPr>
      <w:r>
        <w:t xml:space="preserve">Total initial investment: ¥38 million (100% allocated to Osaka operations):</w:t>
      </w:r>
    </w:p>
    <w:p>
      <w:pPr>
        <w:numPr>
          <w:ilvl w:val="0"/>
          <w:numId w:val="1005"/>
        </w:numPr>
        <w:pStyle w:val="Compact"/>
      </w:pPr>
      <w:r>
        <w:t xml:space="preserve">Product Localization (45%): Japanese language adaptation, Osaka cultural content development</w:t>
      </w:r>
    </w:p>
    <w:p>
      <w:pPr>
        <w:numPr>
          <w:ilvl w:val="0"/>
          <w:numId w:val="1005"/>
        </w:numPr>
        <w:pStyle w:val="Compact"/>
      </w:pPr>
      <w:r>
        <w:t xml:space="preserve">Institutional Partnerships (30%): School pilot programs, education board collaboration costs</w:t>
      </w:r>
    </w:p>
    <w:p>
      <w:pPr>
        <w:numPr>
          <w:ilvl w:val="0"/>
          <w:numId w:val="1005"/>
        </w:numPr>
        <w:pStyle w:val="Compact"/>
      </w:pPr>
      <w:r>
        <w:t xml:space="preserve">Community Marketing (15%): Osaka Science Festival participation, local event sponsorships</w:t>
      </w:r>
    </w:p>
    <w:p>
      <w:pPr>
        <w:numPr>
          <w:ilvl w:val="0"/>
          <w:numId w:val="1005"/>
        </w:numPr>
        <w:pStyle w:val="Compact"/>
      </w:pPr>
      <w:r>
        <w:t xml:space="preserve">Team Deployment (10%): Hiring Osaka-based education specialists and sales staff</w:t>
      </w:r>
    </w:p>
    <w:bookmarkEnd w:id="29"/>
    <w:bookmarkStart w:id="30" w:name="X9de83b18dff66bdb8ee8d3badfca06f9aa1825b"/>
    <w:p>
      <w:pPr>
        <w:pStyle w:val="Heading2"/>
      </w:pPr>
      <w:r>
        <w:t xml:space="preserve">Evaluation Framework for Japan Osaka Success Metrics</w:t>
      </w:r>
    </w:p>
    <w:p>
      <w:pPr>
        <w:pStyle w:val="FirstParagraph"/>
      </w:pPr>
      <w:r>
        <w:t xml:space="preserve">We track progress through these Japan-specific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Osaka School Adoption Rate:</w:t>
      </w:r>
      <w:r>
        <w:t xml:space="preserve"> </w:t>
      </w:r>
      <w:r>
        <w:t xml:space="preserve">Monthly count of new school sign-ups in Osaka Prefecture (Target: 4 schools/month)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Teacher survey rating on "Japanese cultural context in lessons" (Target: ≥4.2/5)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Osaka Market Share:</w:t>
      </w:r>
      <w:r>
        <w:t xml:space="preserve"> </w:t>
      </w:r>
      <w:r>
        <w:t xml:space="preserve">% of Osaka secondary schools using AI math tools (Target: 15% by 2026)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Parent Engagement Rate:</w:t>
      </w:r>
      <w:r>
        <w:t xml:space="preserve"> </w:t>
      </w:r>
      <w:r>
        <w:t xml:space="preserve">Monthly active parent logins via Osaka-specific portal (Target: 70%+)</w:t>
      </w:r>
    </w:p>
    <w:bookmarkEnd w:id="30"/>
    <w:bookmarkStart w:id="31" w:name="X4bfcb1a6c76f0337555ccfb69f9bec9e3b0a38f"/>
    <w:p>
      <w:pPr>
        <w:pStyle w:val="Heading2"/>
      </w:pPr>
      <w:r>
        <w:t xml:space="preserve">Conclusion: Why This Marketing Plan Works for Japan Osaka</w:t>
      </w:r>
    </w:p>
    <w:p>
      <w:pPr>
        <w:pStyle w:val="FirstParagraph"/>
      </w:pPr>
      <w:r>
        <w:t xml:space="preserve">This comprehensive Marketing Plan strategically positions "Mathematician" as the essential mathematics solution for Japan's dynamic Osaka market. By embedding cultural intelligence into every element – from localized content to community partnerships – we transcend generic edtech approaches. Our plan directly responds to Osaka's educational priorities, creating immediate value for teachers, students, and institutions. Crucially, this Marketing Plan doesn't merely introduce a product; it establishes "Mathematician" as the foundational mathematics education partner for Osaka's next generation of learners. Through this Japan Osaka-focused strategy, we will achieve sustainable market leadership while fulfilling our mission to transform mathematics education across Japan.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aspects of this Marketing Plan are meticulously designed for "Mathematician" in the Osaka context, ensuring maximum relevance and impact within Japan's most educationally innovative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Mathematician in Japan Osaka</dc:title>
  <dc:creator/>
  <dc:language>en</dc:language>
  <cp:keywords/>
  <dcterms:created xsi:type="dcterms:W3CDTF">2025-12-13T12:18:48Z</dcterms:created>
  <dcterms:modified xsi:type="dcterms:W3CDTF">2025-12-13T12:18:48Z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