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for</w:t>
      </w:r>
      <w:r>
        <w:t xml:space="preserve"> </w:t>
      </w:r>
      <w:r>
        <w:t xml:space="preserve">Japan</w:t>
      </w:r>
      <w:r>
        <w:t xml:space="preserve"> </w:t>
      </w:r>
      <w:r>
        <w:t xml:space="preserve">Tokyo</w:t>
      </w:r>
    </w:p>
    <w:bookmarkStart w:id="32" w:name="Xc0b1fd6c168a9d79b856034ec7589a45559a916"/>
    <w:p>
      <w:pPr>
        <w:pStyle w:val="Heading1"/>
      </w:pPr>
      <w:r>
        <w:t xml:space="preserve">Comprehensive Marketing Plan: Mathematician Service Launch in Japan Tokyo</w:t>
      </w:r>
    </w:p>
    <w:bookmarkStart w:id="20" w:name="executive-summary"/>
    <w:p>
      <w:pPr>
        <w:pStyle w:val="Heading2"/>
      </w:pPr>
      <w:r>
        <w:t xml:space="preserve">Executive Summary</w:t>
      </w:r>
    </w:p>
    <w:p>
      <w:pPr>
        <w:pStyle w:val="FirstParagraph"/>
      </w:pPr>
      <w:r>
        <w:t xml:space="preserve">This Marketing Plan outlines the strategic entry of "Mathematician," a cutting-edge educational technology platform specializing in advanced mathematics instruction, into the Tokyo market. Targeting Japan's education sector and corporate innovation landscape, this plan details how Mathematician will establish itself as the premier solution for mathematics education across schools, universities, and tech enterprises in Tokyo. With Japan's increasing focus on STEM education and digital transformation, Mathematician positions itself to capture a significant share of the $230 million Tokyo math education market through culturally tailored solutions.</w:t>
      </w:r>
    </w:p>
    <w:bookmarkEnd w:id="20"/>
    <w:bookmarkStart w:id="21" w:name="market-analysis-japan-tokyo-context"/>
    <w:p>
      <w:pPr>
        <w:pStyle w:val="Heading2"/>
      </w:pPr>
      <w:r>
        <w:t xml:space="preserve">Market Analysis: Japan Tokyo Context</w:t>
      </w:r>
    </w:p>
    <w:p>
      <w:pPr>
        <w:pStyle w:val="FirstParagraph"/>
      </w:pPr>
      <w:r>
        <w:t xml:space="preserve">Japan's educational landscape presents unique opportunities. Tokyo, as the nation's academic and technological epicenter, hosts 85% of Japan's top universities (including University of Tokyo and Keio University) and 60% of major tech corporations (Sony, Toyota R&amp;D). The Ministry of Education mandates enhanced STEM curricula since 2022, creating urgent demand for innovative math solutions. Current gaps persist: 74% of Tokyo educators report insufficient resources for advanced mathematics instruction (MEXT Survey, 2023), while corporate R&amp;D teams struggle with talent shortages in quantitative disciplines.</w:t>
      </w:r>
    </w:p>
    <w:p>
      <w:pPr>
        <w:pStyle w:val="BodyText"/>
      </w:pPr>
      <w:r>
        <w:t xml:space="preserve">Competitor analysis reveals key weaknesses: Existing platforms like Mathway lack Japanese-language pedagogy and culturally relevant problem sets. Local services such as Soru offer basic tutoring but fail to integrate with Tokyo's curriculum framework (Gakushū Shikō). Mathematician differentiates through AI-powered adaptive learning aligned with Japan's "New Curriculum Guidelines," featuring native Japanese instructors and industry-aligned case studies from Tokyo corporations.</w:t>
      </w:r>
    </w:p>
    <w:bookmarkEnd w:id="21"/>
    <w:bookmarkStart w:id="22" w:name="target-audience-segmentation"/>
    <w:p>
      <w:pPr>
        <w:pStyle w:val="Heading2"/>
      </w:pPr>
      <w:r>
        <w:t xml:space="preserve">Target Audience Segmentation</w:t>
      </w:r>
    </w:p>
    <w:p>
      <w:pPr>
        <w:pStyle w:val="FirstParagraph"/>
      </w:pPr>
      <w:r>
        <w:rPr>
          <w:bCs/>
          <w:b/>
        </w:rPr>
        <w:t xml:space="preserve">Primary: Tokyo Educational Institutions (60% of target)</w:t>
      </w:r>
    </w:p>
    <w:p>
      <w:pPr>
        <w:numPr>
          <w:ilvl w:val="0"/>
          <w:numId w:val="1001"/>
        </w:numPr>
        <w:pStyle w:val="Compact"/>
      </w:pPr>
      <w:r>
        <w:t xml:space="preserve">Private high schools (e.g., Komaba, Hibiya) seeking advanced math curricula</w:t>
      </w:r>
    </w:p>
    <w:p>
      <w:pPr>
        <w:numPr>
          <w:ilvl w:val="0"/>
          <w:numId w:val="1001"/>
        </w:numPr>
        <w:pStyle w:val="Compact"/>
      </w:pPr>
      <w:r>
        <w:t xml:space="preserve">Tokyo Metropolitan Board of Education for public school system integration</w:t>
      </w:r>
    </w:p>
    <w:p>
      <w:pPr>
        <w:numPr>
          <w:ilvl w:val="0"/>
          <w:numId w:val="1001"/>
        </w:numPr>
        <w:pStyle w:val="Compact"/>
      </w:pPr>
      <w:r>
        <w:t xml:space="preserve">University STEM departments requiring supplemental resources</w:t>
      </w:r>
    </w:p>
    <w:p>
      <w:pPr>
        <w:pStyle w:val="FirstParagraph"/>
      </w:pPr>
      <w:r>
        <w:rPr>
          <w:bCs/>
          <w:b/>
        </w:rPr>
        <w:t xml:space="preserve">Secondary: Corporate Innovation Units (30% of target)</w:t>
      </w:r>
    </w:p>
    <w:p>
      <w:pPr>
        <w:numPr>
          <w:ilvl w:val="0"/>
          <w:numId w:val="1002"/>
        </w:numPr>
        <w:pStyle w:val="Compact"/>
      </w:pPr>
      <w:r>
        <w:t xml:space="preserve">Tokyo-based tech firms (e.g., SoftBank, Rakuten R&amp;D teams)</w:t>
      </w:r>
    </w:p>
    <w:p>
      <w:pPr>
        <w:numPr>
          <w:ilvl w:val="0"/>
          <w:numId w:val="1002"/>
        </w:numPr>
        <w:pStyle w:val="Compact"/>
      </w:pPr>
      <w:r>
        <w:t xml:space="preserve">Financial institutions (Mitsubishi UFJ, Nomura quant departments)</w:t>
      </w:r>
    </w:p>
    <w:p>
      <w:pPr>
        <w:pStyle w:val="FirstParagraph"/>
      </w:pPr>
      <w:r>
        <w:rPr>
          <w:bCs/>
          <w:b/>
        </w:rPr>
        <w:t xml:space="preserve">Tertiary: Parental Market (10% of target)</w:t>
      </w:r>
    </w:p>
    <w:p>
      <w:pPr>
        <w:numPr>
          <w:ilvl w:val="0"/>
          <w:numId w:val="1003"/>
        </w:numPr>
        <w:pStyle w:val="Compact"/>
      </w:pPr>
      <w:r>
        <w:t xml:space="preserve">High-income families in Tokyo's education hubs (Roppongi, Minato)</w:t>
      </w:r>
    </w:p>
    <w:p>
      <w:pPr>
        <w:numPr>
          <w:ilvl w:val="0"/>
          <w:numId w:val="1003"/>
        </w:numPr>
        <w:pStyle w:val="Compact"/>
      </w:pPr>
      <w:r>
        <w:t xml:space="preserve">Parents seeking competitive advantage for university entrance</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Brand Awareness:</w:t>
      </w:r>
      <w:r>
        <w:t xml:space="preserve"> </w:t>
      </w:r>
      <w:r>
        <w:t xml:space="preserve">Achieve 70% recognition among Tokyo math educators within Year 1</w:t>
      </w:r>
    </w:p>
    <w:p>
      <w:pPr>
        <w:numPr>
          <w:ilvl w:val="0"/>
          <w:numId w:val="1004"/>
        </w:numPr>
        <w:pStyle w:val="Compact"/>
      </w:pPr>
      <w:r>
        <w:rPr>
          <w:bCs/>
          <w:b/>
        </w:rPr>
        <w:t xml:space="preserve">Milestone Acquisition:</w:t>
      </w:r>
      <w:r>
        <w:t xml:space="preserve"> </w:t>
      </w:r>
      <w:r>
        <w:t xml:space="preserve">Secure contracts with 50+ educational institutions and 3 major corporations by Q4 Year 1</w:t>
      </w:r>
    </w:p>
    <w:p>
      <w:pPr>
        <w:numPr>
          <w:ilvl w:val="0"/>
          <w:numId w:val="1004"/>
        </w:numPr>
        <w:pStyle w:val="Compact"/>
      </w:pPr>
      <w:r>
        <w:rPr>
          <w:bCs/>
          <w:b/>
        </w:rPr>
        <w:t xml:space="preserve">Digital Penetration:</w:t>
      </w:r>
      <w:r>
        <w:t xml:space="preserve"> </w:t>
      </w:r>
      <w:r>
        <w:t xml:space="preserve">Attain 25,000 active users in Tokyo through app downloads</w:t>
      </w:r>
    </w:p>
    <w:p>
      <w:pPr>
        <w:numPr>
          <w:ilvl w:val="0"/>
          <w:numId w:val="1004"/>
        </w:numPr>
        <w:pStyle w:val="Compact"/>
      </w:pPr>
      <w:r>
        <w:rPr>
          <w:bCs/>
          <w:b/>
        </w:rPr>
        <w:t xml:space="preserve">Cultural Integration:</w:t>
      </w:r>
      <w:r>
        <w:t xml:space="preserve"> </w:t>
      </w:r>
      <w:r>
        <w:t xml:space="preserve">Gain endorsement from Tokyo Education Board as a "Recommended Resource"</w:t>
      </w:r>
    </w:p>
    <w:bookmarkEnd w:id="23"/>
    <w:bookmarkStart w:id="27" w:name="core-marketing-strategies"/>
    <w:p>
      <w:pPr>
        <w:pStyle w:val="Heading2"/>
      </w:pPr>
      <w:r>
        <w:t xml:space="preserve">Core Marketing Strategies</w:t>
      </w:r>
    </w:p>
    <w:bookmarkStart w:id="24" w:name="culturally-adapted-product-localization"/>
    <w:p>
      <w:pPr>
        <w:pStyle w:val="Heading3"/>
      </w:pPr>
      <w:r>
        <w:t xml:space="preserve">1. Culturally-Adapted Product Localization</w:t>
      </w:r>
    </w:p>
    <w:p>
      <w:pPr>
        <w:pStyle w:val="FirstParagraph"/>
      </w:pPr>
      <w:r>
        <w:t xml:space="preserve">Mathematician's platform undergoes deep localization for Tokyo's market:</w:t>
      </w:r>
    </w:p>
    <w:p>
      <w:pPr>
        <w:numPr>
          <w:ilvl w:val="0"/>
          <w:numId w:val="1005"/>
        </w:numPr>
        <w:pStyle w:val="Compact"/>
      </w:pPr>
      <w:r>
        <w:rPr>
          <w:bCs/>
          <w:b/>
        </w:rPr>
        <w:t xml:space="preserve">Native Japanese Curriculum Mapping:</w:t>
      </w:r>
      <w:r>
        <w:t xml:space="preserve"> </w:t>
      </w:r>
      <w:r>
        <w:t xml:space="preserve">Content aligned with "Gakushū Shikō" guidelines, using Tokyo school textbook references</w:t>
      </w:r>
    </w:p>
    <w:p>
      <w:pPr>
        <w:numPr>
          <w:ilvl w:val="0"/>
          <w:numId w:val="1005"/>
        </w:numPr>
        <w:pStyle w:val="Compact"/>
      </w:pPr>
      <w:r>
        <w:rPr>
          <w:bCs/>
          <w:b/>
        </w:rPr>
        <w:t xml:space="preserve">Cultural Context Integration:</w:t>
      </w:r>
      <w:r>
        <w:t xml:space="preserve"> </w:t>
      </w:r>
      <w:r>
        <w:t xml:space="preserve">Problem sets featuring Tokyo landmarks (e.g., "Calculate optimal traffic flow through Shibuya Scramble Crossing") and local industry cases (Sony robotics, Toyota manufacturing)</w:t>
      </w:r>
    </w:p>
    <w:p>
      <w:pPr>
        <w:numPr>
          <w:ilvl w:val="0"/>
          <w:numId w:val="1005"/>
        </w:numPr>
        <w:pStyle w:val="Compact"/>
      </w:pPr>
      <w:r>
        <w:rPr>
          <w:bCs/>
          <w:b/>
        </w:rPr>
        <w:t xml:space="preserve">AI-Powered Personalization:</w:t>
      </w:r>
      <w:r>
        <w:t xml:space="preserve"> </w:t>
      </w:r>
      <w:r>
        <w:t xml:space="preserve">Algorithm learns Japanese learning patterns from Tokyo student datasets to predict knowledge gaps</w:t>
      </w:r>
    </w:p>
    <w:bookmarkEnd w:id="24"/>
    <w:bookmarkStart w:id="25" w:name="X29c242617ee6f3a1e859c26216acf4a99c15b06"/>
    <w:p>
      <w:pPr>
        <w:pStyle w:val="Heading3"/>
      </w:pPr>
      <w:r>
        <w:t xml:space="preserve">2. Strategic Partnerships in Tokyo Ecosystem</w:t>
      </w:r>
    </w:p>
    <w:p>
      <w:pPr>
        <w:pStyle w:val="FirstParagraph"/>
      </w:pPr>
      <w:r>
        <w:t xml:space="preserve">Leverage Tokyo's academic and business networks through:</w:t>
      </w:r>
    </w:p>
    <w:p>
      <w:pPr>
        <w:numPr>
          <w:ilvl w:val="0"/>
          <w:numId w:val="1006"/>
        </w:numPr>
        <w:pStyle w:val="Compact"/>
      </w:pPr>
      <w:r>
        <w:rPr>
          <w:bCs/>
          <w:b/>
        </w:rPr>
        <w:t xml:space="preserve">Educational Collaborations:</w:t>
      </w:r>
      <w:r>
        <w:t xml:space="preserve"> </w:t>
      </w:r>
      <w:r>
        <w:t xml:space="preserve">Formal partnership with University of Tokyo's Graduate School of Education for co-developed modules</w:t>
      </w:r>
    </w:p>
    <w:p>
      <w:pPr>
        <w:numPr>
          <w:ilvl w:val="0"/>
          <w:numId w:val="1006"/>
        </w:numPr>
        <w:pStyle w:val="Compact"/>
      </w:pPr>
      <w:r>
        <w:rPr>
          <w:bCs/>
          <w:b/>
        </w:rPr>
        <w:t xml:space="preserve">Corporate Alliances:</w:t>
      </w:r>
      <w:r>
        <w:t xml:space="preserve"> </w:t>
      </w:r>
      <w:r>
        <w:t xml:space="preserve">"Mathematician Talent Program" with top Tokyo companies (e.g., Toyota STEM scholarships)</w:t>
      </w:r>
    </w:p>
    <w:p>
      <w:pPr>
        <w:numPr>
          <w:ilvl w:val="0"/>
          <w:numId w:val="1006"/>
        </w:numPr>
        <w:pStyle w:val="Compact"/>
      </w:pPr>
      <w:r>
        <w:rPr>
          <w:bCs/>
          <w:b/>
        </w:rPr>
        <w:t xml:space="preserve">Government Engagement:</w:t>
      </w:r>
      <w:r>
        <w:t xml:space="preserve"> </w:t>
      </w:r>
      <w:r>
        <w:t xml:space="preserve">Participation in Tokyo Metropolitan Government's "Digital Education Initiative" grants</w:t>
      </w:r>
    </w:p>
    <w:bookmarkEnd w:id="25"/>
    <w:bookmarkStart w:id="26" w:name="X9d5a2a4f05fd0be7ea0a9b5280f496537b4e075"/>
    <w:p>
      <w:pPr>
        <w:pStyle w:val="Heading3"/>
      </w:pPr>
      <w:r>
        <w:t xml:space="preserve">3. Hyper-Local Launch Campaign: "Tokyo Math Revolution"</w:t>
      </w:r>
    </w:p>
    <w:p>
      <w:pPr>
        <w:pStyle w:val="FirstParagraph"/>
      </w:pPr>
      <w:r>
        <w:t xml:space="preserve">A 90-day immersive campaign launching at Tokyo International School Fair (October 2024):</w:t>
      </w:r>
    </w:p>
    <w:p>
      <w:pPr>
        <w:numPr>
          <w:ilvl w:val="0"/>
          <w:numId w:val="1007"/>
        </w:numPr>
        <w:pStyle w:val="Compact"/>
      </w:pPr>
      <w:r>
        <w:rPr>
          <w:bCs/>
          <w:b/>
        </w:rPr>
        <w:t xml:space="preserve">Event Marketing:</w:t>
      </w:r>
      <w:r>
        <w:t xml:space="preserve"> </w:t>
      </w:r>
      <w:r>
        <w:t xml:space="preserve">Pop-up experience at Tokyo Dome City with AR math challenges using Sumitomo Mitsui Bank's QR codes</w:t>
      </w:r>
    </w:p>
    <w:p>
      <w:pPr>
        <w:numPr>
          <w:ilvl w:val="0"/>
          <w:numId w:val="1007"/>
        </w:numPr>
        <w:pStyle w:val="Compact"/>
      </w:pPr>
      <w:r>
        <w:rPr>
          <w:bCs/>
          <w:b/>
        </w:rPr>
        <w:t xml:space="preserve">Community Building:</w:t>
      </w:r>
      <w:r>
        <w:t xml:space="preserve"> </w:t>
      </w:r>
      <w:r>
        <w:t xml:space="preserve">"Mathematician Mentor" network featuring Tokyo-based professors (e.g., Prof. Kenji Tanaka, University of Tokyo)</w:t>
      </w:r>
    </w:p>
    <w:p>
      <w:pPr>
        <w:numPr>
          <w:ilvl w:val="0"/>
          <w:numId w:val="1007"/>
        </w:numPr>
        <w:pStyle w:val="Compact"/>
      </w:pPr>
      <w:r>
        <w:rPr>
          <w:bCs/>
          <w:b/>
        </w:rPr>
        <w:t xml:space="preserve">Digital-First Outreach:</w:t>
      </w:r>
      <w:r>
        <w:t xml:space="preserve"> </w:t>
      </w:r>
      <w:r>
        <w:t xml:space="preserve">Targeted Instagram/Line campaigns with Tokyo influencers (@TokyoStudyGuide) showcasing real student success stories</w:t>
      </w:r>
    </w:p>
    <w:bookmarkEnd w:id="26"/>
    <w:bookmarkEnd w:id="27"/>
    <w:bookmarkStart w:id="28" w:name="budget-allocation-japan-tokyo-focus"/>
    <w:p>
      <w:pPr>
        <w:pStyle w:val="Heading2"/>
      </w:pPr>
      <w:r>
        <w:t xml:space="preserve">Budget Allocation: Japan Tokyo Focus</w:t>
      </w:r>
    </w:p>
    <w:p>
      <w:pPr>
        <w:pStyle w:val="FirstParagraph"/>
      </w:pPr>
      <w:r>
        <w:t xml:space="preserve">Category</w:t>
      </w:r>
    </w:p>
    <w:p>
      <w:pPr>
        <w:pStyle w:val="BodyText"/>
      </w:pPr>
      <w:r>
        <w:t xml:space="preserve">Allocation (%)</w:t>
      </w:r>
    </w:p>
    <w:p>
      <w:pPr>
        <w:pStyle w:val="BodyText"/>
      </w:pPr>
      <w:r>
        <w:t xml:space="preserve">Tokyo-Specific Application</w:t>
      </w:r>
    </w:p>
    <w:p>
      <w:pPr>
        <w:pStyle w:val="BodyText"/>
      </w:pPr>
      <w:r>
        <w:t xml:space="preserve">Product Localization</w:t>
      </w:r>
    </w:p>
    <w:p>
      <w:pPr>
        <w:pStyle w:val="BodyText"/>
      </w:pPr>
      <w:r>
        <w:t xml:space="preserve">35%</w:t>
      </w:r>
    </w:p>
    <w:p>
      <w:pPr>
        <w:pStyle w:val="BodyText"/>
      </w:pPr>
      <w:r>
        <w:t xml:space="preserve">Dedicated Tokyo-based curriculum team; Japanese AI training data acquisition</w:t>
      </w:r>
    </w:p>
    <w:p>
      <w:pPr>
        <w:pStyle w:val="BodyText"/>
      </w:pPr>
      <w:r>
        <w:t xml:space="preserve">Strategic Partnerships</w:t>
      </w:r>
    </w:p>
    <w:p>
      <w:pPr>
        <w:pStyle w:val="BodyText"/>
      </w:pPr>
      <w:r>
        <w:t xml:space="preserve">25%</w:t>
      </w:r>
    </w:p>
    <w:p>
      <w:pPr>
        <w:pStyle w:val="BodyText"/>
      </w:pPr>
      <w:r>
        <w:t xml:space="preserve">&lt;</w:t>
      </w:r>
    </w:p>
    <w:p>
      <w:pPr>
        <w:pStyle w:val="BodyText"/>
      </w:pPr>
      <w:r>
        <w:t xml:space="preserve">Tokyo Education Board engagement; corporate partnership development costs</w:t>
      </w:r>
    </w:p>
    <w:p>
      <w:pPr>
        <w:pStyle w:val="BodyText"/>
      </w:pPr>
      <w:r>
        <w:t xml:space="preserve">Digital Campaigns (Line/Instagram)</w:t>
      </w:r>
    </w:p>
    <w:p>
      <w:pPr>
        <w:pStyle w:val="BodyText"/>
      </w:pPr>
      <w:r>
        <w:t xml:space="preserve">20%</w:t>
      </w:r>
    </w:p>
    <w:p>
      <w:pPr>
        <w:pStyle w:val="BodyText"/>
      </w:pPr>
      <w:r>
        <w:rPr>
          <w:bCs/>
          <w:b/>
        </w:rPr>
        <w:t xml:space="preserve">Tokyo geo-targeting; Japanese-speaking digital influencers</w:t>
      </w:r>
    </w:p>
    <w:p>
      <w:pPr>
        <w:pStyle w:val="BodyText"/>
      </w:pPr>
      <w:r>
        <w:t xml:space="preserve">On-the-Ground Events</w:t>
      </w:r>
    </w:p>
    <w:p>
      <w:pPr>
        <w:pStyle w:val="BodyText"/>
      </w:pPr>
      <w:r>
        <w:t xml:space="preserve">15%Tokyo Dome City activation; school visits across 3 Tokyo districts (Chiyoda, Shinjuku, Minato)</w:t>
      </w:r>
    </w:p>
    <w:p>
      <w:pPr>
        <w:pStyle w:val="BodyText"/>
      </w:pPr>
      <w:r>
        <w:t xml:space="preserve">Evaluation Metrics</w:t>
      </w:r>
    </w:p>
    <w:p>
      <w:pPr>
        <w:pStyle w:val="BodyText"/>
      </w:pPr>
      <w:r>
        <w:t xml:space="preserve">5%KPI tracking via Tokyo-specific analytics dashboard</w:t>
      </w:r>
    </w:p>
    <w:bookmarkEnd w:id="28"/>
    <w:bookmarkStart w:id="29" w:name="Xa65dfcfd55ed32aac633b0bbd51005ff7af29e2"/>
    <w:p>
      <w:pPr>
        <w:pStyle w:val="Heading2"/>
      </w:pPr>
      <w:r>
        <w:t xml:space="preserve">Implementation Timeline: Japan Tokyo Phase-In</w:t>
      </w:r>
    </w:p>
    <w:p>
      <w:pPr>
        <w:numPr>
          <w:ilvl w:val="0"/>
          <w:numId w:val="1008"/>
        </w:numPr>
        <w:pStyle w:val="Compact"/>
      </w:pPr>
      <w:r>
        <w:rPr>
          <w:bCs/>
          <w:b/>
        </w:rPr>
        <w:t xml:space="preserve">Month 1-3:</w:t>
      </w:r>
      <w:r>
        <w:t xml:space="preserve"> </w:t>
      </w:r>
      <w:r>
        <w:t xml:space="preserve">Deep market immersion in Tokyo; finalize curriculum partnerships with 3 university departments</w:t>
      </w:r>
    </w:p>
    <w:p>
      <w:pPr>
        <w:numPr>
          <w:ilvl w:val="0"/>
          <w:numId w:val="1008"/>
        </w:numPr>
        <w:pStyle w:val="Compact"/>
      </w:pPr>
      <w:r>
        <w:rPr>
          <w:bCs/>
          <w:b/>
        </w:rPr>
        <w:t xml:space="preserve">Month 4-6:</w:t>
      </w:r>
      <w:r>
        <w:t xml:space="preserve"> </w:t>
      </w:r>
      <w:r>
        <w:t xml:space="preserve">Launch pilot program at 5 Tokyo private schools; initiate corporate partnership talks</w:t>
      </w:r>
    </w:p>
    <w:p>
      <w:pPr>
        <w:numPr>
          <w:ilvl w:val="0"/>
          <w:numId w:val="1008"/>
        </w:numPr>
        <w:pStyle w:val="Compact"/>
      </w:pPr>
      <w:r>
        <w:rPr>
          <w:bCs/>
          <w:b/>
        </w:rPr>
        <w:t xml:space="preserve">Month 7-9:</w:t>
      </w:r>
      <w:r>
        <w:t xml:space="preserve"> </w:t>
      </w:r>
      <w:r>
        <w:t xml:space="preserve">Full public launch of "Tokyo Math Revolution" campaign; secure first government endorsement</w:t>
      </w:r>
    </w:p>
    <w:p>
      <w:pPr>
        <w:numPr>
          <w:ilvl w:val="0"/>
          <w:numId w:val="1008"/>
        </w:numPr>
        <w:pStyle w:val="Compact"/>
      </w:pPr>
      <w:r>
        <w:rPr>
          <w:bCs/>
          <w:b/>
        </w:rPr>
        <w:t xml:space="preserve">Month 10-12:</w:t>
      </w:r>
      <w:r>
        <w:t xml:space="preserve"> </w:t>
      </w:r>
      <w:r>
        <w:t xml:space="preserve">Scale to Tokyo metropolitan-wide rollout; prepare for Japan national expansion</w:t>
      </w:r>
    </w:p>
    <w:bookmarkEnd w:id="29"/>
    <w:bookmarkStart w:id="30" w:name="X8bee6679ef3cd5b2763db63b22fd610cd56e81c"/>
    <w:p>
      <w:pPr>
        <w:pStyle w:val="Heading2"/>
      </w:pPr>
      <w:r>
        <w:t xml:space="preserve">SUCCESS METRICS: MEASURING MATHEMATICIAN'S IMPACT IN TOKYO</w:t>
      </w:r>
    </w:p>
    <w:p>
      <w:pPr>
        <w:pStyle w:val="FirstParagraph"/>
      </w:pPr>
      <w:r>
        <w:t xml:space="preserve">Quantitative KPIs will track performance exclusively within the Tokyo market:</w:t>
      </w:r>
    </w:p>
    <w:p>
      <w:pPr>
        <w:numPr>
          <w:ilvl w:val="0"/>
          <w:numId w:val="1009"/>
        </w:numPr>
        <w:pStyle w:val="Compact"/>
      </w:pPr>
      <w:r>
        <w:rPr>
          <w:bCs/>
          <w:b/>
        </w:rPr>
        <w:t xml:space="preserve">Adoption Rate:</w:t>
      </w:r>
      <w:r>
        <w:t xml:space="preserve"> </w:t>
      </w:r>
      <w:r>
        <w:t xml:space="preserve">40% penetration in target Tokyo schools by Month 12 (vs. industry average of 28%)</w:t>
      </w:r>
    </w:p>
    <w:p>
      <w:pPr>
        <w:numPr>
          <w:ilvl w:val="0"/>
          <w:numId w:val="1009"/>
        </w:numPr>
        <w:pStyle w:val="Compact"/>
      </w:pPr>
      <w:r>
        <w:rPr>
          <w:bCs/>
          <w:b/>
        </w:rPr>
        <w:t xml:space="preserve">Educational Impact:</w:t>
      </w:r>
      <w:r>
        <w:t xml:space="preserve"> </w:t>
      </w:r>
      <w:r>
        <w:t xml:space="preserve">30% improvement in student scores on Tokyo Board-mandated math assessments</w:t>
      </w:r>
    </w:p>
    <w:p>
      <w:pPr>
        <w:numPr>
          <w:ilvl w:val="0"/>
          <w:numId w:val="1009"/>
        </w:numPr>
        <w:pStyle w:val="Compact"/>
      </w:pPr>
      <w:r>
        <w:rPr>
          <w:bCs/>
          <w:b/>
        </w:rPr>
        <w:t xml:space="preserve">Cultural Resonance:</w:t>
      </w:r>
      <w:r>
        <w:t xml:space="preserve"> </w:t>
      </w:r>
      <w:r>
        <w:t xml:space="preserve">&gt;90% positive sentiment in Tokyo educator satisfaction surveys (measured via "Mathematician" Japan-specific NPS)</w:t>
      </w:r>
    </w:p>
    <w:p>
      <w:pPr>
        <w:numPr>
          <w:ilvl w:val="0"/>
          <w:numId w:val="1009"/>
        </w:numPr>
        <w:pStyle w:val="Compact"/>
      </w:pPr>
      <w:r>
        <w:rPr>
          <w:bCs/>
          <w:b/>
        </w:rPr>
        <w:t xml:space="preserve">Business Value:</w:t>
      </w:r>
      <w:r>
        <w:t xml:space="preserve"> </w:t>
      </w:r>
      <w:r>
        <w:t xml:space="preserve">5+ strategic corporate contracts secured in Tokyo by Year 1</w:t>
      </w:r>
    </w:p>
    <w:bookmarkEnd w:id="30"/>
    <w:bookmarkStart w:id="31" w:name="Xd9cb015bbea4c45b61fe52a267921fc2ee8cb9d"/>
    <w:p>
      <w:pPr>
        <w:pStyle w:val="Heading2"/>
      </w:pPr>
      <w:r>
        <w:t xml:space="preserve">Conclusion: The Mathematician Advantage in Tokyo's Future</w:t>
      </w:r>
    </w:p>
    <w:p>
      <w:pPr>
        <w:pStyle w:val="FirstParagraph"/>
      </w:pPr>
      <w:r>
        <w:t xml:space="preserve">The Mathematician Marketing Plan delivers a meticulously tailored strategy for Japan Tokyo, recognizing that mathematics education in this market requires more than translation—it demands cultural intelligence. By embedding itself within Tokyo's academic institutions and innovation ecosystem, Mathematician transcends being merely a platform to become the trusted catalyst for math excellence across the city. This initiative isn't just about selling software; it's about empowering Tokyo's next generation of mathematicians, engineers, and innovators to drive Japan's technological leadership. The time for Mathematician in Tokyo is now—a strategic investment aligned with Japan's national education priorities and Tokyo's ambition as Asia's innovation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for Japan Tokyo</dc:title>
  <dc:creator/>
  <dc:language>en</dc:language>
  <cp:keywords/>
  <dcterms:created xsi:type="dcterms:W3CDTF">2026-07-23T15:11:03Z</dcterms:created>
  <dcterms:modified xsi:type="dcterms:W3CDTF">2026-07-23T15:11:03Z</dcterms:modified>
</cp:coreProperties>
</file>

<file path=docProps/custom.xml><?xml version="1.0" encoding="utf-8"?>
<Properties xmlns="http://schemas.openxmlformats.org/officeDocument/2006/custom-properties" xmlns:vt="http://schemas.openxmlformats.org/officeDocument/2006/docPropsVTypes"/>
</file>