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Elevating</w:t>
      </w:r>
      <w:r>
        <w:t xml:space="preserve"> </w:t>
      </w:r>
      <w:r>
        <w:t xml:space="preserve">Mathematics</w:t>
      </w:r>
      <w:r>
        <w:t xml:space="preserve"> </w:t>
      </w:r>
      <w:r>
        <w:t xml:space="preserve">Education</w:t>
      </w:r>
      <w:r>
        <w:t xml:space="preserve"> </w:t>
      </w:r>
      <w:r>
        <w:t xml:space="preserve">in</w:t>
      </w:r>
      <w:r>
        <w:t xml:space="preserve"> </w:t>
      </w:r>
      <w:r>
        <w:t xml:space="preserve">Kuwait</w:t>
      </w:r>
      <w:r>
        <w:t xml:space="preserve"> </w:t>
      </w:r>
      <w:r>
        <w:t xml:space="preserve">City</w:t>
      </w:r>
    </w:p>
    <w:bookmarkStart w:id="33" w:name="Xfc453c500e04974a00c9b9f4b15ab2baf0a8c0a"/>
    <w:p>
      <w:pPr>
        <w:pStyle w:val="Heading1"/>
      </w:pPr>
      <w:r>
        <w:t xml:space="preserve">Comprehensive Marketing Plan for "Mathematician" - Transforming Mathematics Education in Kuwait City</w:t>
      </w:r>
    </w:p>
    <w:bookmarkStart w:id="20" w:name="executive-summary"/>
    <w:p>
      <w:pPr>
        <w:pStyle w:val="Heading2"/>
      </w:pPr>
      <w:r>
        <w:t xml:space="preserve">Executive Summary</w:t>
      </w:r>
    </w:p>
    <w:p>
      <w:pPr>
        <w:pStyle w:val="FirstParagraph"/>
      </w:pPr>
      <w:r>
        <w:t xml:space="preserve">This Marketing Plan outlines the strategic approach for launching and scaling "Mathematician," an innovative mathematics education platform, specifically designed for the educational landscape of Kuwait City. Recognizing Kuwait's national emphasis on STEM development and the critical need for advanced mathematical literacy among students, this plan positions "Mathematician" as the premier solution to bridge educational gaps in Kuwait City. Our target is to capture 15% market share within three years by delivering personalized, culturally relevant mathematics education through digital and physical channels across Kuwait City.</w:t>
      </w:r>
    </w:p>
    <w:bookmarkEnd w:id="20"/>
    <w:bookmarkStart w:id="21" w:name="Xe803629ef00b9fc282ecbf9dbbb3a7892fa53b6"/>
    <w:p>
      <w:pPr>
        <w:pStyle w:val="Heading2"/>
      </w:pPr>
      <w:r>
        <w:t xml:space="preserve">Market Analysis: The Kuwait City Opportunity</w:t>
      </w:r>
    </w:p>
    <w:p>
      <w:pPr>
        <w:pStyle w:val="FirstParagraph"/>
      </w:pPr>
      <w:r>
        <w:t xml:space="preserve">Kuwait City presents a unique educational ecosystem with high demand for quality mathematics instruction. According to the Ministry of Education's 2023 report, 68% of Kuwaiti students struggle with advanced mathematical concepts, directly impacting university admissions and STEM career pathways. The Kuwaiti government's Vision 2035 prioritizes education reform, creating fertile ground for innovative solutions like "Mathematician." Competitor analysis reveals a critical gap: existing tutoring services lack cultural alignment and personalized learning technology. Unlike generic platforms, "Mathematician" integrates Gulf-specific curricula (Kuwait National Curriculum) with AI-driven adaptive learning, addressing a clear market need in Kuwait City.</w:t>
      </w:r>
    </w:p>
    <w:bookmarkEnd w:id="21"/>
    <w:bookmarkStart w:id="22" w:name="target-audience-in-kuwait-city"/>
    <w:p>
      <w:pPr>
        <w:pStyle w:val="Heading2"/>
      </w:pPr>
      <w:r>
        <w:t xml:space="preserve">Target Audience in Kuwait City</w:t>
      </w:r>
    </w:p>
    <w:p>
      <w:pPr>
        <w:numPr>
          <w:ilvl w:val="0"/>
          <w:numId w:val="1001"/>
        </w:numPr>
        <w:pStyle w:val="Compact"/>
      </w:pPr>
      <w:r>
        <w:rPr>
          <w:bCs/>
          <w:b/>
        </w:rPr>
        <w:t xml:space="preserve">Primary:</w:t>
      </w:r>
      <w:r>
        <w:t xml:space="preserve"> </w:t>
      </w:r>
      <w:r>
        <w:t xml:space="preserve">Students (Grades 6-12) across Kuwait City's public and private schools, particularly those preparing for national examinations or university admissions.</w:t>
      </w:r>
    </w:p>
    <w:p>
      <w:pPr>
        <w:numPr>
          <w:ilvl w:val="0"/>
          <w:numId w:val="1001"/>
        </w:numPr>
        <w:pStyle w:val="Compact"/>
      </w:pPr>
      <w:r>
        <w:rPr>
          <w:bCs/>
          <w:b/>
        </w:rPr>
        <w:t xml:space="preserve">Secondary:</w:t>
      </w:r>
      <w:r>
        <w:t xml:space="preserve"> </w:t>
      </w:r>
      <w:r>
        <w:t xml:space="preserve">Parents of school-aged children in high-income districts (e.g., Salmiya, Al Shuwaikh) prioritizing academic excellence; educators seeking professional development resources.</w:t>
      </w:r>
    </w:p>
    <w:p>
      <w:pPr>
        <w:numPr>
          <w:ilvl w:val="0"/>
          <w:numId w:val="1001"/>
        </w:numPr>
        <w:pStyle w:val="Compact"/>
      </w:pPr>
      <w:r>
        <w:rPr>
          <w:bCs/>
          <w:b/>
        </w:rPr>
        <w:t xml:space="preserve">Tertiary:</w:t>
      </w:r>
      <w:r>
        <w:t xml:space="preserve"> </w:t>
      </w:r>
      <w:r>
        <w:t xml:space="preserve">Schools and educational institutions across Kuwait City seeking to enhance their mathematics curriculum with technology.</w:t>
      </w:r>
    </w:p>
    <w:bookmarkEnd w:id="22"/>
    <w:bookmarkStart w:id="23" w:name="marketing-objectives-for-kuwait-city"/>
    <w:p>
      <w:pPr>
        <w:pStyle w:val="Heading2"/>
      </w:pPr>
      <w:r>
        <w:t xml:space="preserve">Marketing Objectives for Kuwait City</w:t>
      </w:r>
    </w:p>
    <w:p>
      <w:pPr>
        <w:numPr>
          <w:ilvl w:val="0"/>
          <w:numId w:val="1002"/>
        </w:numPr>
        <w:pStyle w:val="Compact"/>
      </w:pPr>
      <w:r>
        <w:t xml:space="preserve">Achieve 10,000 active users in Kuwait City within 18 months of launch.</w:t>
      </w:r>
    </w:p>
    <w:p>
      <w:pPr>
        <w:numPr>
          <w:ilvl w:val="0"/>
          <w:numId w:val="1002"/>
        </w:numPr>
        <w:pStyle w:val="Compact"/>
      </w:pPr>
      <w:r>
        <w:t xml:space="preserve">Secure partnerships with 50+ schools and educational centers across Kuwait City by Year 2.</w:t>
      </w:r>
    </w:p>
    <w:p>
      <w:pPr>
        <w:numPr>
          <w:ilvl w:val="0"/>
          <w:numId w:val="1002"/>
        </w:numPr>
        <w:pStyle w:val="Compact"/>
      </w:pPr>
      <w:r>
        <w:t xml:space="preserve">Attain a brand recognition score of 75% among parents of students aged 12-18 in Kuwait City within two years.</w:t>
      </w:r>
    </w:p>
    <w:p>
      <w:pPr>
        <w:numPr>
          <w:ilvl w:val="0"/>
          <w:numId w:val="1002"/>
        </w:numPr>
        <w:pStyle w:val="Compact"/>
      </w:pPr>
      <w:r>
        <w:t xml:space="preserve">Generate $3.5M in revenue from Kuwait City operations by Year 3, with a target customer lifetime value (LTV) exceeding $450.</w:t>
      </w:r>
    </w:p>
    <w:bookmarkEnd w:id="23"/>
    <w:bookmarkStart w:id="28" w:name="X9b62c43999c5f5cf766960184f34d0eb4cb0fb0"/>
    <w:p>
      <w:pPr>
        <w:pStyle w:val="Heading2"/>
      </w:pPr>
      <w:r>
        <w:t xml:space="preserve">Marketing Strategies: Tailored for Kuwaiti Context</w:t>
      </w:r>
    </w:p>
    <w:bookmarkStart w:id="24" w:name="product-strategy"/>
    <w:p>
      <w:pPr>
        <w:pStyle w:val="Heading3"/>
      </w:pPr>
      <w:r>
        <w:t xml:space="preserve">Product Strategy</w:t>
      </w:r>
    </w:p>
    <w:p>
      <w:pPr>
        <w:pStyle w:val="FirstParagraph"/>
      </w:pPr>
      <w:r>
        <w:t xml:space="preserve">"Mathematician" will offer:</w:t>
      </w:r>
    </w:p>
    <w:p>
      <w:pPr>
        <w:numPr>
          <w:ilvl w:val="0"/>
          <w:numId w:val="1003"/>
        </w:numPr>
        <w:pStyle w:val="Compact"/>
      </w:pPr>
      <w:r>
        <w:t xml:space="preserve">Culturally adapted content aligned with Kuwait's National Curriculum, including Arabic-English bilingual support.</w:t>
      </w:r>
    </w:p>
    <w:p>
      <w:pPr>
        <w:numPr>
          <w:ilvl w:val="0"/>
          <w:numId w:val="1003"/>
        </w:numPr>
        <w:pStyle w:val="Compact"/>
      </w:pPr>
      <w:r>
        <w:t xml:space="preserve">AI-powered personalized learning paths based on Kuwaiti exam patterns (e.g., GCE A-Level, SAT).</w:t>
      </w:r>
    </w:p>
    <w:p>
      <w:pPr>
        <w:numPr>
          <w:ilvl w:val="0"/>
          <w:numId w:val="1003"/>
        </w:numPr>
        <w:pStyle w:val="Compact"/>
      </w:pPr>
      <w:r>
        <w:t xml:space="preserve">Offline-accessible modules for areas with intermittent connectivity in Kuwait City neighborhoods.</w:t>
      </w:r>
    </w:p>
    <w:p>
      <w:pPr>
        <w:numPr>
          <w:ilvl w:val="0"/>
          <w:numId w:val="1003"/>
        </w:numPr>
        <w:pStyle w:val="Compact"/>
      </w:pPr>
      <w:r>
        <w:t xml:space="preserve">Lifetime access to "Mathematician" certified tutors (Kuwaiti nationals) for live problem-solving sessions.</w:t>
      </w:r>
    </w:p>
    <w:p>
      <w:pPr>
        <w:pStyle w:val="FirstParagraph"/>
      </w:pPr>
      <w:r>
        <w:t xml:space="preserve">This positioning directly addresses Kuwait City's educational needs while differentiating from generic international platforms.</w:t>
      </w:r>
    </w:p>
    <w:bookmarkEnd w:id="24"/>
    <w:bookmarkStart w:id="25" w:name="pricing-strategy"/>
    <w:p>
      <w:pPr>
        <w:pStyle w:val="Heading3"/>
      </w:pPr>
      <w:r>
        <w:t xml:space="preserve">Pricing Strategy</w:t>
      </w:r>
    </w:p>
    <w:p>
      <w:pPr>
        <w:pStyle w:val="FirstParagraph"/>
      </w:pPr>
      <w:r>
        <w:t xml:space="preserve">Reflecting Kuwait City's purchasing power and value perception:</w:t>
      </w:r>
    </w:p>
    <w:p>
      <w:pPr>
        <w:numPr>
          <w:ilvl w:val="0"/>
          <w:numId w:val="1004"/>
        </w:numPr>
        <w:pStyle w:val="Compact"/>
      </w:pPr>
      <w:r>
        <w:rPr>
          <w:bCs/>
          <w:b/>
        </w:rPr>
        <w:t xml:space="preserve">Individual Subscriptions:</w:t>
      </w:r>
      <w:r>
        <w:t xml:space="preserve"> </w:t>
      </w:r>
      <w:r>
        <w:t xml:space="preserve">KD 25/month (≈$82) for students, with 10% discounts for annual commitments. Competitive against local tutors charging KD 40-60 per hour.</w:t>
      </w:r>
    </w:p>
    <w:p>
      <w:pPr>
        <w:numPr>
          <w:ilvl w:val="0"/>
          <w:numId w:val="1004"/>
        </w:numPr>
        <w:pStyle w:val="Compact"/>
      </w:pPr>
      <w:r>
        <w:rPr>
          <w:bCs/>
          <w:b/>
        </w:rPr>
        <w:t xml:space="preserve">School Partnerships:</w:t>
      </w:r>
      <w:r>
        <w:t xml:space="preserve"> </w:t>
      </w:r>
      <w:r>
        <w:t xml:space="preserve">KD 8,500/year per classroom (including admin dashboard and teacher training), inclusive of Kuwait City delivery support.</w:t>
      </w:r>
    </w:p>
    <w:p>
      <w:pPr>
        <w:numPr>
          <w:ilvl w:val="0"/>
          <w:numId w:val="1004"/>
        </w:numPr>
        <w:pStyle w:val="Compact"/>
      </w:pPr>
      <w:r>
        <w:rPr>
          <w:bCs/>
          <w:b/>
        </w:rPr>
        <w:t xml:space="preserve">Government Initiatives:</w:t>
      </w:r>
      <w:r>
        <w:t xml:space="preserve"> </w:t>
      </w:r>
      <w:r>
        <w:t xml:space="preserve">Special pricing for Ministry of Education pilot programs in Kuwait City schools.</w:t>
      </w:r>
    </w:p>
    <w:p>
      <w:pPr>
        <w:pStyle w:val="FirstParagraph"/>
      </w:pPr>
      <w:r>
        <w:t xml:space="preserve">The pricing emphasizes long-term value over cost, leveraging Kuwait's high household expenditure on education (averaging 32% of family income).</w:t>
      </w:r>
    </w:p>
    <w:bookmarkEnd w:id="25"/>
    <w:bookmarkStart w:id="26" w:name="distribution-place-strategy"/>
    <w:p>
      <w:pPr>
        <w:pStyle w:val="Heading3"/>
      </w:pPr>
      <w:r>
        <w:t xml:space="preserve">Distribution (Place) Strategy</w:t>
      </w:r>
    </w:p>
    <w:p>
      <w:pPr>
        <w:pStyle w:val="FirstParagraph"/>
      </w:pPr>
      <w:r>
        <w:t xml:space="preserve">Localized delivery for seamless Kuwait City adoption:</w:t>
      </w:r>
    </w:p>
    <w:p>
      <w:pPr>
        <w:numPr>
          <w:ilvl w:val="0"/>
          <w:numId w:val="1005"/>
        </w:numPr>
        <w:pStyle w:val="Compact"/>
      </w:pPr>
      <w:r>
        <w:rPr>
          <w:bCs/>
          <w:b/>
        </w:rPr>
        <w:t xml:space="preserve">Primary Channel:</w:t>
      </w:r>
      <w:r>
        <w:t xml:space="preserve"> </w:t>
      </w:r>
      <w:r>
        <w:t xml:space="preserve">Mobile app (Arabic/English interface) downloadable via Kuwaiti app stores.</w:t>
      </w:r>
    </w:p>
    <w:p>
      <w:pPr>
        <w:numPr>
          <w:ilvl w:val="0"/>
          <w:numId w:val="1005"/>
        </w:numPr>
        <w:pStyle w:val="Compact"/>
      </w:pPr>
      <w:r>
        <w:rPr>
          <w:bCs/>
          <w:b/>
        </w:rPr>
        <w:t xml:space="preserve">Physical Presence:</w:t>
      </w:r>
      <w:r>
        <w:t xml:space="preserve"> </w:t>
      </w:r>
      <w:r>
        <w:t xml:space="preserve">Pop-up learning hubs at major Kuwait City venues (e.g., Mall of Asia, Al Hamra Square) offering free trial sessions.</w:t>
      </w:r>
    </w:p>
    <w:p>
      <w:pPr>
        <w:numPr>
          <w:ilvl w:val="0"/>
          <w:numId w:val="1005"/>
        </w:numPr>
        <w:pStyle w:val="Compact"/>
      </w:pPr>
      <w:r>
        <w:rPr>
          <w:bCs/>
          <w:b/>
        </w:rPr>
        <w:t xml:space="preserve">Partnerships:</w:t>
      </w:r>
      <w:r>
        <w:t xml:space="preserve"> </w:t>
      </w:r>
      <w:r>
        <w:t xml:space="preserve">Distribution through established Kuwaiti educational providers like Al-Muntada and GEMS Education campuses in Kuwait City.</w:t>
      </w:r>
    </w:p>
    <w:p>
      <w:pPr>
        <w:numPr>
          <w:ilvl w:val="0"/>
          <w:numId w:val="1005"/>
        </w:numPr>
        <w:pStyle w:val="Compact"/>
      </w:pPr>
      <w:r>
        <w:rPr>
          <w:bCs/>
          <w:b/>
        </w:rPr>
        <w:t xml:space="preserve">Logistics:</w:t>
      </w:r>
      <w:r>
        <w:t xml:space="preserve"> </w:t>
      </w:r>
      <w:r>
        <w:t xml:space="preserve">Same-day delivery of printed study materials across Kuwait City via local courier partners (e.g., Delivery Hero, Aramex).</w:t>
      </w:r>
    </w:p>
    <w:bookmarkEnd w:id="26"/>
    <w:bookmarkStart w:id="27" w:name="promotion-strategy"/>
    <w:p>
      <w:pPr>
        <w:pStyle w:val="Heading3"/>
      </w:pPr>
      <w:r>
        <w:t xml:space="preserve">Promotion Strategy</w:t>
      </w:r>
    </w:p>
    <w:p>
      <w:pPr>
        <w:pStyle w:val="FirstParagraph"/>
      </w:pPr>
      <w:r>
        <w:t xml:space="preserve">A culturally resonant campaign targeting Kuwait City's key influencers:</w:t>
      </w:r>
    </w:p>
    <w:p>
      <w:pPr>
        <w:numPr>
          <w:ilvl w:val="0"/>
          <w:numId w:val="1006"/>
        </w:numPr>
        <w:pStyle w:val="Compact"/>
      </w:pPr>
      <w:r>
        <w:rPr>
          <w:bCs/>
          <w:b/>
        </w:rPr>
        <w:t xml:space="preserve">Social Media:</w:t>
      </w:r>
      <w:r>
        <w:t xml:space="preserve"> </w:t>
      </w:r>
      <w:r>
        <w:t xml:space="preserve">TikTok/Instagram campaigns featuring Kuwaiti students sharing success stories (e.g., "How Mathematician helped me ace my exams at Al-Khairiyah School").</w:t>
      </w:r>
    </w:p>
    <w:p>
      <w:pPr>
        <w:numPr>
          <w:ilvl w:val="0"/>
          <w:numId w:val="1006"/>
        </w:numPr>
        <w:pStyle w:val="Compact"/>
      </w:pPr>
      <w:r>
        <w:rPr>
          <w:bCs/>
          <w:b/>
        </w:rPr>
        <w:t xml:space="preserve">Community Events:</w:t>
      </w:r>
      <w:r>
        <w:t xml:space="preserve"> </w:t>
      </w:r>
      <w:r>
        <w:t xml:space="preserve">Sponsorship of Kuwait City's National Mathematics Olympiad and partnerships with Kuwait University's STEM initiatives.</w:t>
      </w:r>
    </w:p>
    <w:p>
      <w:pPr>
        <w:numPr>
          <w:ilvl w:val="0"/>
          <w:numId w:val="1006"/>
        </w:numPr>
        <w:pStyle w:val="Compact"/>
      </w:pPr>
      <w:r>
        <w:rPr>
          <w:bCs/>
          <w:b/>
        </w:rPr>
        <w:t xml:space="preserve">Traditional Media:</w:t>
      </w:r>
      <w:r>
        <w:t xml:space="preserve"> </w:t>
      </w:r>
      <w:r>
        <w:t xml:space="preserve">Targeted radio ads on Al-Asala FM during family programming hours and premium placements in Al-Qabas newspaper.</w:t>
      </w:r>
    </w:p>
    <w:p>
      <w:pPr>
        <w:numPr>
          <w:ilvl w:val="0"/>
          <w:numId w:val="1006"/>
        </w:numPr>
        <w:pStyle w:val="Compact"/>
      </w:pPr>
      <w:r>
        <w:rPr>
          <w:bCs/>
          <w:b/>
        </w:rPr>
        <w:t xml:space="preserve">Referral Program:</w:t>
      </w:r>
      <w:r>
        <w:t xml:space="preserve"> </w:t>
      </w:r>
      <w:r>
        <w:t xml:space="preserve">"Refer a Friend" incentives (e.g., 1 month free) leveraging Kuwaiti social networks like WhatsApp groups.</w:t>
      </w:r>
    </w:p>
    <w:bookmarkEnd w:id="27"/>
    <w:bookmarkEnd w:id="28"/>
    <w:bookmarkStart w:id="29" w:name="budget-allocation-for-kuwait-city-year-1"/>
    <w:p>
      <w:pPr>
        <w:pStyle w:val="Heading2"/>
      </w:pPr>
      <w:r>
        <w:t xml:space="preserve">Budget Allocation for Kuwait City (Year 1)</w:t>
      </w:r>
    </w:p>
    <w:p>
      <w:pPr>
        <w:pStyle w:val="FirstParagraph"/>
      </w:pPr>
      <w:r>
        <w:t xml:space="preserve">Category</w:t>
      </w:r>
    </w:p>
    <w:p>
      <w:pPr>
        <w:pStyle w:val="BodyText"/>
      </w:pPr>
      <w:r>
        <w:t xml:space="preserve">Allocation (%)</w:t>
      </w:r>
    </w:p>
    <w:p>
      <w:pPr>
        <w:pStyle w:val="BodyText"/>
      </w:pPr>
      <w:r>
        <w:t xml:space="preserve">Purpose in Kuwait City</w:t>
      </w:r>
    </w:p>
    <w:p>
      <w:pPr>
        <w:pStyle w:val="BodyText"/>
      </w:pPr>
      <w:r>
        <w:t xml:space="preserve">Digital Marketing</w:t>
      </w:r>
    </w:p>
    <w:p>
      <w:pPr>
        <w:pStyle w:val="BodyText"/>
      </w:pPr>
      <w:r>
        <w:t xml:space="preserve">40%</w:t>
      </w:r>
    </w:p>
    <w:p>
      <w:pPr>
        <w:pStyle w:val="BodyText"/>
      </w:pPr>
      <w:r>
        <w:t xml:space="preserve">Social media ads, influencer collaborations targeting Kuwait City parents.</w:t>
      </w:r>
    </w:p>
    <w:p>
      <w:pPr>
        <w:pStyle w:val="BodyText"/>
      </w:pPr>
      <w:r>
        <w:t xml:space="preserve">Partnership Development</w:t>
      </w:r>
    </w:p>
    <w:p>
      <w:pPr>
        <w:pStyle w:val="BodyText"/>
      </w:pPr>
      <w:r>
        <w:t xml:space="preserve">25%</w:t>
      </w:r>
    </w:p>
    <w:p>
      <w:pPr>
        <w:pStyle w:val="BodyText"/>
      </w:pPr>
      <w:r>
        <w:t xml:space="preserve">Kuwait City school outreach and MoU signings.</w:t>
      </w:r>
    </w:p>
    <w:p>
      <w:pPr>
        <w:pStyle w:val="BodyText"/>
      </w:pPr>
      <w:r>
        <w:t xml:space="preserve">Event Marketing</w:t>
      </w:r>
    </w:p>
    <w:p>
      <w:pPr>
        <w:pStyle w:val="BodyText"/>
      </w:pPr>
      <w:r>
        <w:t xml:space="preserve">15%</w:t>
      </w:r>
    </w:p>
    <w:p>
      <w:pPr>
        <w:pStyle w:val="BodyText"/>
      </w:pPr>
      <w:r>
        <w:t xml:space="preserve">Sponsorships at Kuwait City educational events (e.g., Expo Education).</w:t>
      </w:r>
    </w:p>
    <w:p>
      <w:pPr>
        <w:pStyle w:val="BodyText"/>
      </w:pPr>
      <w:r>
        <w:t xml:space="preserve">Content Localization</w:t>
      </w:r>
    </w:p>
    <w:p>
      <w:pPr>
        <w:pStyle w:val="BodyText"/>
      </w:pPr>
      <w:r>
        <w:t xml:space="preserve">10%</w:t>
      </w:r>
    </w:p>
    <w:p>
      <w:pPr>
        <w:pStyle w:val="BodyText"/>
      </w:pPr>
      <w:r>
        <w:t xml:space="preserve">Arabic curriculum adaptation and Kuwaiti dialect audio content.</w:t>
      </w:r>
    </w:p>
    <w:p>
      <w:pPr>
        <w:pStyle w:val="BodyText"/>
      </w:pPr>
      <w:r>
        <w:t xml:space="preserve">Analytics &amp; Optimization</w:t>
      </w:r>
    </w:p>
    <w:p>
      <w:pPr>
        <w:pStyle w:val="BodyText"/>
      </w:pPr>
      <w:r>
        <w:t xml:space="preserve">10%</w:t>
      </w:r>
    </w:p>
    <w:p>
      <w:pPr>
        <w:pStyle w:val="BodyText"/>
      </w:pPr>
      <w:r>
        <w:t xml:space="preserve">Kuwait City user behavior tracking and campaign refinement.</w:t>
      </w:r>
    </w:p>
    <w:bookmarkEnd w:id="29"/>
    <w:bookmarkStart w:id="30" w:name="Xaf0aaa47fc66b6e6170836e95f63cb28cd2ccb5"/>
    <w:p>
      <w:pPr>
        <w:pStyle w:val="Heading2"/>
      </w:pPr>
      <w:r>
        <w:t xml:space="preserve">Evaluation Metrics for Kuwait City Success</w:t>
      </w:r>
    </w:p>
    <w:p>
      <w:pPr>
        <w:pStyle w:val="FirstParagraph"/>
      </w:pPr>
      <w:r>
        <w:t xml:space="preserve">We will track success through:</w:t>
      </w:r>
    </w:p>
    <w:p>
      <w:pPr>
        <w:numPr>
          <w:ilvl w:val="0"/>
          <w:numId w:val="1007"/>
        </w:numPr>
        <w:pStyle w:val="Compact"/>
      </w:pPr>
      <w:r>
        <w:rPr>
          <w:bCs/>
          <w:b/>
        </w:rPr>
        <w:t xml:space="preserve">Customer Acquisition:</w:t>
      </w:r>
      <w:r>
        <w:t xml:space="preserve"> </w:t>
      </w:r>
      <w:r>
        <w:t xml:space="preserve">Cost per Kuwait City user (target: ≤KD 15) and conversion rate from free trial to paid subscription.</w:t>
      </w:r>
    </w:p>
    <w:p>
      <w:pPr>
        <w:numPr>
          <w:ilvl w:val="0"/>
          <w:numId w:val="1007"/>
        </w:numPr>
        <w:pStyle w:val="Compact"/>
      </w:pPr>
      <w:r>
        <w:rPr>
          <w:bCs/>
          <w:b/>
        </w:rPr>
        <w:t xml:space="preserve">Engagement:</w:t>
      </w:r>
      <w:r>
        <w:t xml:space="preserve"> </w:t>
      </w:r>
      <w:r>
        <w:t xml:space="preserve">Average session duration in Kuwait City (target: ≥25 minutes) and feature usage (e.g., live tutor sessions).</w:t>
      </w:r>
    </w:p>
    <w:p>
      <w:pPr>
        <w:numPr>
          <w:ilvl w:val="0"/>
          <w:numId w:val="1007"/>
        </w:numPr>
        <w:pStyle w:val="Compact"/>
      </w:pPr>
      <w:r>
        <w:rPr>
          <w:bCs/>
          <w:b/>
        </w:rPr>
        <w:t xml:space="preserve">School Impact:</w:t>
      </w:r>
      <w:r>
        <w:t xml:space="preserve"> </w:t>
      </w:r>
      <w:r>
        <w:t xml:space="preserve">Improvement in student exam scores at partner Kuwait City schools (measured via pre/post assessments).</w:t>
      </w:r>
    </w:p>
    <w:p>
      <w:pPr>
        <w:numPr>
          <w:ilvl w:val="0"/>
          <w:numId w:val="1007"/>
        </w:numPr>
        <w:pStyle w:val="Compact"/>
      </w:pPr>
      <w:r>
        <w:rPr>
          <w:bCs/>
          <w:b/>
        </w:rPr>
        <w:t xml:space="preserve">Brand Health:</w:t>
      </w:r>
      <w:r>
        <w:t xml:space="preserve"> </w:t>
      </w:r>
      <w:r>
        <w:t xml:space="preserve">Net Promoter Score (NPS) from Kuwait City users and social sentiment analysis.</w:t>
      </w:r>
    </w:p>
    <w:bookmarkEnd w:id="30"/>
    <w:bookmarkStart w:id="31" w:name="sustainability-growth-in-kuwait-city"/>
    <w:p>
      <w:pPr>
        <w:pStyle w:val="Heading2"/>
      </w:pPr>
      <w:r>
        <w:t xml:space="preserve">Sustainability &amp; Growth in Kuwait City</w:t>
      </w:r>
    </w:p>
    <w:p>
      <w:pPr>
        <w:pStyle w:val="FirstParagraph"/>
      </w:pPr>
      <w:r>
        <w:t xml:space="preserve">"Mathematician" is designed for long-term impact within Kuwait's educational ecosystem. Post-Year 1, we will:</w:t>
      </w:r>
    </w:p>
    <w:p>
      <w:pPr>
        <w:numPr>
          <w:ilvl w:val="0"/>
          <w:numId w:val="1008"/>
        </w:numPr>
        <w:pStyle w:val="Compact"/>
      </w:pPr>
      <w:r>
        <w:t xml:space="preserve">Develop Arabic-language advanced courses in engineering mathematics (aligned with Kuwait University programs).</w:t>
      </w:r>
    </w:p>
    <w:p>
      <w:pPr>
        <w:numPr>
          <w:ilvl w:val="0"/>
          <w:numId w:val="1008"/>
        </w:numPr>
        <w:pStyle w:val="Compact"/>
      </w:pPr>
      <w:r>
        <w:t xml:space="preserve">Establish "Mathematician" academies in partnership with leading universities across Kuwait City.</w:t>
      </w:r>
    </w:p>
    <w:p>
      <w:pPr>
        <w:numPr>
          <w:ilvl w:val="0"/>
          <w:numId w:val="1008"/>
        </w:numPr>
        <w:pStyle w:val="Compact"/>
      </w:pPr>
      <w:r>
        <w:t xml:space="preserve">Leverage government grants for STEM education under Vision 2035 to expand free community access.</w:t>
      </w:r>
    </w:p>
    <w:bookmarkEnd w:id="31"/>
    <w:bookmarkStart w:id="32" w:name="Xada7ccd45ca035c67df4089cc7df6e4fc6ae0e4"/>
    <w:p>
      <w:pPr>
        <w:pStyle w:val="Heading2"/>
      </w:pPr>
      <w:r>
        <w:t xml:space="preserve">Conclusion: Why Mathematician in Kuwait City?</w:t>
      </w:r>
    </w:p>
    <w:p>
      <w:pPr>
        <w:pStyle w:val="FirstParagraph"/>
      </w:pPr>
      <w:r>
        <w:t xml:space="preserve">Kuwait City represents a high-potential market where educational innovation directly aligns with national priorities. This Marketing Plan positions "Mathematician" not merely as a service, but as an essential partner in advancing Kuwait's mathematical literacy. By embedding cultural relevance into every facet of our offering—from curriculum design to community engagement—we ensure that "Mathematician" becomes synonymous with excellence in mathematics education across Kuwait City. With this focused strategy, we are poised to transform how students in Kuwait City learn, engage with, and excel in mathematics.</w:t>
      </w:r>
    </w:p>
    <w:p>
      <w:pPr>
        <w:pStyle w:val="BodyText"/>
      </w:pPr>
      <w:r>
        <w:rPr>
          <w:bCs/>
          <w:b/>
        </w:rPr>
        <w:t xml:space="preserve">Marketing Plan Execution Timeline for Kuwait City:</w:t>
      </w:r>
      <w:r>
        <w:t xml:space="preserve"> </w:t>
      </w:r>
      <w:r>
        <w:t xml:space="preserve">Q1 2024: Launch app &amp; pilot schools (Kuwait City districts) → Q3 2024: Partnership expansion → Q1 2025: National curriculum integration → Year 3: Regional scaling across GCC.</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Elevating Mathematics Education in Kuwait City</dc:title>
  <dc:creator/>
  <dc:language>en</dc:language>
  <cp:keywords/>
  <dcterms:created xsi:type="dcterms:W3CDTF">2026-07-23T12:28:14Z</dcterms:created>
  <dcterms:modified xsi:type="dcterms:W3CDTF">2026-07-23T12:28:14Z</dcterms:modified>
</cp:coreProperties>
</file>

<file path=docProps/custom.xml><?xml version="1.0" encoding="utf-8"?>
<Properties xmlns="http://schemas.openxmlformats.org/officeDocument/2006/custom-properties" xmlns:vt="http://schemas.openxmlformats.org/officeDocument/2006/docPropsVTypes"/>
</file>