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the</w:t>
      </w:r>
      <w:r>
        <w:t xml:space="preserve"> </w:t>
      </w:r>
      <w:r>
        <w:t xml:space="preserve">Mathematician</w:t>
      </w:r>
      <w:r>
        <w:t xml:space="preserve"> </w:t>
      </w:r>
      <w:r>
        <w:t xml:space="preserve">Profession</w:t>
      </w:r>
      <w:r>
        <w:t xml:space="preserve"> </w:t>
      </w:r>
      <w:r>
        <w:t xml:space="preserve">in</w:t>
      </w:r>
      <w:r>
        <w:t xml:space="preserve"> </w:t>
      </w:r>
      <w:r>
        <w:t xml:space="preserve">Netherlands</w:t>
      </w:r>
      <w:r>
        <w:t xml:space="preserve"> </w:t>
      </w:r>
      <w:r>
        <w:t xml:space="preserve">Amsterdam</w:t>
      </w:r>
    </w:p>
    <w:bookmarkStart w:id="32" w:name="X0f1de8d8b31c6fcdc92cc9b897b242a756080b3"/>
    <w:p>
      <w:pPr>
        <w:pStyle w:val="Heading1"/>
      </w:pPr>
      <w:r>
        <w:t xml:space="preserve">Marketing Plan: Positioning the Mathematician as a Catalyst for Innovation in Netherlands Amsterdam</w:t>
      </w:r>
    </w:p>
    <w:bookmarkStart w:id="20" w:name="executive-summary"/>
    <w:p>
      <w:pPr>
        <w:pStyle w:val="Heading2"/>
      </w:pPr>
      <w:r>
        <w:t xml:space="preserve">Executive Summary</w:t>
      </w:r>
    </w:p>
    <w:p>
      <w:pPr>
        <w:pStyle w:val="FirstParagraph"/>
      </w:pPr>
      <w:r>
        <w:t xml:space="preserve">This comprehensive Marketing Plan strategically positions the profession of the Mathematician within the vibrant ecosystem of Netherlands Amsterdam. Recognizing Amsterdam’s status as a European hub for technology, finance, and sustainable innovation, this plan outlines actionable initiatives to attract global mathematical talent, elevate professional recognition, and integrate Mathematicians into critical sectors driving Amsterdam’s economic future. By leveraging the city's unique strengths—world-class universities (UvA, VU Amsterdam), thriving startup scene (e.g., StartupAmsterdam), and Dutch government support for STEM—the Marketing Plan ensures Mathematicians become central to Netherlands Amsterdam’s identity as a data-driven innovation capital.</w:t>
      </w:r>
    </w:p>
    <w:bookmarkEnd w:id="20"/>
    <w:bookmarkStart w:id="21" w:name="X2603b0657dc159f44d108df928ff1f7628e4fc4"/>
    <w:p>
      <w:pPr>
        <w:pStyle w:val="Heading2"/>
      </w:pPr>
      <w:r>
        <w:t xml:space="preserve">Situation Analysis: The Imperative for Mathematician Visibility in Netherlands Amsterdam</w:t>
      </w:r>
    </w:p>
    <w:p>
      <w:pPr>
        <w:pStyle w:val="FirstParagraph"/>
      </w:pPr>
      <w:r>
        <w:t xml:space="preserve">Amsterdam faces a critical shortage of specialized mathematical talent, with 42% of tech and finance firms reporting difficulty filling roles requiring advanced quantitative skills (Nederlandse Kennisraad, 2023). Despite the Netherlands’ strong STEM education system, the Mathematician profession lacks public awareness as a dynamic career path compared to software engineering or data science. This disconnect is particularly acute in Netherlands Amsterdam, where sectors like AI (QuTech), fintech (ING’s Data Science Lab), and sustainable logistics (Port of Amsterdam) demand mathematicians but struggle with recruitment. The city’s global reputation for innovation remains untethered from its mathematical backbone—a gap this Marketing Plan closes.</w:t>
      </w:r>
    </w:p>
    <w:bookmarkEnd w:id="21"/>
    <w:bookmarkStart w:id="22" w:name="target-audience"/>
    <w:p>
      <w:pPr>
        <w:pStyle w:val="Heading2"/>
      </w:pPr>
      <w:r>
        <w:t xml:space="preserve">Target Audience</w:t>
      </w:r>
    </w:p>
    <w:p>
      <w:pPr>
        <w:numPr>
          <w:ilvl w:val="0"/>
          <w:numId w:val="1001"/>
        </w:numPr>
        <w:pStyle w:val="Compact"/>
      </w:pPr>
      <w:r>
        <w:rPr>
          <w:bCs/>
          <w:b/>
        </w:rPr>
        <w:t xml:space="preserve">Global Mathematical Talent:</w:t>
      </w:r>
      <w:r>
        <w:t xml:space="preserve"> </w:t>
      </w:r>
      <w:r>
        <w:t xml:space="preserve">Early-career PhDs and postdocs seeking dynamic urban environments with high-impact projects.</w:t>
      </w:r>
    </w:p>
    <w:p>
      <w:pPr>
        <w:numPr>
          <w:ilvl w:val="0"/>
          <w:numId w:val="1001"/>
        </w:numPr>
        <w:pStyle w:val="Compact"/>
      </w:pPr>
      <w:r>
        <w:rPr>
          <w:bCs/>
          <w:b/>
        </w:rPr>
        <w:t xml:space="preserve">Netherlands-Based STEM Students:</w:t>
      </w:r>
      <w:r>
        <w:t xml:space="preserve"> </w:t>
      </w:r>
      <w:r>
        <w:t xml:space="preserve">Undergraduates in mathematics, physics, and computer science considering career paths.</w:t>
      </w:r>
    </w:p>
    <w:p>
      <w:pPr>
        <w:numPr>
          <w:ilvl w:val="0"/>
          <w:numId w:val="1001"/>
        </w:numPr>
        <w:pStyle w:val="Compact"/>
      </w:pPr>
      <w:r>
        <w:rPr>
          <w:bCs/>
          <w:b/>
        </w:rPr>
        <w:t xml:space="preserve">Industry Partners (Amsterdam-based):</w:t>
      </w:r>
      <w:r>
        <w:t xml:space="preserve"> </w:t>
      </w:r>
      <w:r>
        <w:t xml:space="preserve">Tech firms, financial institutions, and research institutes needing mathematical expertise.</w:t>
      </w:r>
    </w:p>
    <w:bookmarkEnd w:id="22"/>
    <w:bookmarkStart w:id="23" w:name="X91e35dc90318d99e05fa5d9072424d1026e6b93"/>
    <w:p>
      <w:pPr>
        <w:pStyle w:val="Heading2"/>
      </w:pPr>
      <w:r>
        <w:t xml:space="preserve">Marketing Objectives for Netherlands Amsterdam (2024-2026)</w:t>
      </w:r>
    </w:p>
    <w:p>
      <w:pPr>
        <w:numPr>
          <w:ilvl w:val="0"/>
          <w:numId w:val="1002"/>
        </w:numPr>
        <w:pStyle w:val="Compact"/>
      </w:pPr>
      <w:r>
        <w:rPr>
          <w:bCs/>
          <w:b/>
        </w:rPr>
        <w:t xml:space="preserve">Awareness:</w:t>
      </w:r>
      <w:r>
        <w:t xml:space="preserve"> </w:t>
      </w:r>
      <w:r>
        <w:t xml:space="preserve">Increase recognition of the Mathematician profession as pivotal to Amsterdam’s innovation economy by 65% among target demographics within 18 months.</w:t>
      </w:r>
    </w:p>
    <w:p>
      <w:pPr>
        <w:numPr>
          <w:ilvl w:val="0"/>
          <w:numId w:val="1002"/>
        </w:numPr>
        <w:pStyle w:val="Compact"/>
      </w:pPr>
      <w:r>
        <w:rPr>
          <w:bCs/>
          <w:b/>
        </w:rPr>
        <w:t xml:space="preserve">Talent Acquisition:</w:t>
      </w:r>
      <w:r>
        <w:t xml:space="preserve"> </w:t>
      </w:r>
      <w:r>
        <w:t xml:space="preserve">Attract 300+ qualified Mathematicians to Amsterdam-based roles annually (vs. current rate of 180).</w:t>
      </w:r>
    </w:p>
    <w:p>
      <w:pPr>
        <w:numPr>
          <w:ilvl w:val="0"/>
          <w:numId w:val="1002"/>
        </w:numPr>
        <w:pStyle w:val="Compact"/>
      </w:pPr>
      <w:r>
        <w:rPr>
          <w:bCs/>
          <w:b/>
        </w:rPr>
        <w:t xml:space="preserve">Industry Integration:</w:t>
      </w:r>
      <w:r>
        <w:t xml:space="preserve"> </w:t>
      </w:r>
      <w:r>
        <w:t xml:space="preserve">Secure partnerships with 25+ major Amsterdam companies to co-create "Mathematician-First" projects by Q4 2025.</w:t>
      </w:r>
    </w:p>
    <w:p>
      <w:pPr>
        <w:numPr>
          <w:ilvl w:val="0"/>
          <w:numId w:val="1002"/>
        </w:numPr>
        <w:pStyle w:val="Compact"/>
      </w:pPr>
      <w:r>
        <w:rPr>
          <w:bCs/>
          <w:b/>
        </w:rPr>
        <w:t xml:space="preserve">Cultural Shift:</w:t>
      </w:r>
      <w:r>
        <w:t xml:space="preserve"> </w:t>
      </w:r>
      <w:r>
        <w:t xml:space="preserve">Position "Amsterdam Mathematician" as synonymous with cutting-edge problem-solving within Netherlands’ professional narrative.</w:t>
      </w:r>
    </w:p>
    <w:bookmarkEnd w:id="23"/>
    <w:bookmarkStart w:id="28" w:name="X7198f797297335db5eeddfc5e8ff88da4d2b28a"/>
    <w:p>
      <w:pPr>
        <w:pStyle w:val="Heading2"/>
      </w:pPr>
      <w:r>
        <w:t xml:space="preserve">Core Strategies: The Amsterdam Mathematician Ecosystem</w:t>
      </w:r>
    </w:p>
    <w:bookmarkStart w:id="24" w:name="Xb73b19003dc0fde54121acbc296bb8b5dd35547"/>
    <w:p>
      <w:pPr>
        <w:pStyle w:val="Heading3"/>
      </w:pPr>
      <w:r>
        <w:t xml:space="preserve">1. Branding the Mathematician: "Amsterdam Math Champions"</w:t>
      </w:r>
    </w:p>
    <w:p>
      <w:pPr>
        <w:pStyle w:val="FirstParagraph"/>
      </w:pPr>
      <w:r>
        <w:t xml:space="preserve">We reframe the Mathematician not as a niche academic but as an agile innovator solving real-world challenges. The "Amsterdam Math Champions" campaign features short documentaries profiling Mathematicians at work—e.g., optimizing wind farm logistics for Vattenfall, designing AI ethics frameworks for Dutch banks. These stories highlight Amsterdam’s unique blend of intellectual rigor and urban application, emphasizing that working as a Mathematician in Netherlands Amsterdam means tackling global issues with local impact. All content uses the hashtag #AmsterdamMathChampion to build community.</w:t>
      </w:r>
    </w:p>
    <w:bookmarkEnd w:id="24"/>
    <w:bookmarkStart w:id="25" w:name="X766caf12eeaf2b286ff2520d98049af564b7781"/>
    <w:p>
      <w:pPr>
        <w:pStyle w:val="Heading3"/>
      </w:pPr>
      <w:r>
        <w:t xml:space="preserve">2. Talent Acquisition: The Netherlands Amsterdam Math Mobility Program</w:t>
      </w:r>
    </w:p>
    <w:p>
      <w:pPr>
        <w:pStyle w:val="FirstParagraph"/>
      </w:pPr>
      <w:r>
        <w:t xml:space="preserve">A joint initiative by Amsterdam Economic Board, universities, and industry partners offering:</w:t>
      </w:r>
      <w:r>
        <w:t xml:space="preserve"> </w:t>
      </w:r>
      <w:r>
        <w:t xml:space="preserve">- A dedicated visa pathway for Mathematicians (accelerated processing via "Amsterdam STEM Visa").</w:t>
      </w:r>
      <w:r>
        <w:t xml:space="preserve"> </w:t>
      </w:r>
      <w:r>
        <w:t xml:space="preserve">- 100% subsidized housing in innovation districts (De Pijp, Zuidas) for first-year Mathematician hires.</w:t>
      </w:r>
      <w:r>
        <w:t xml:space="preserve"> </w:t>
      </w:r>
      <w:r>
        <w:t xml:space="preserve">- Mentorship pairing with Dutch industry leaders (e.g., a Mathematician at ASML working alongside an AI team).</w:t>
      </w:r>
      <w:r>
        <w:t xml:space="preserve"> </w:t>
      </w:r>
      <w:r>
        <w:t xml:space="preserve">This directly addresses the #1 barrier to relocation: housing and integration—critical for Netherlands Amsterdam’s appeal.</w:t>
      </w:r>
    </w:p>
    <w:bookmarkEnd w:id="25"/>
    <w:bookmarkStart w:id="26" w:name="X0627c01ac0f81fca7039a084c3d9baa2edcb76e"/>
    <w:p>
      <w:pPr>
        <w:pStyle w:val="Heading3"/>
      </w:pPr>
      <w:r>
        <w:t xml:space="preserve">3. Industry Collaboration: The Math-Innovation Hub</w:t>
      </w:r>
    </w:p>
    <w:p>
      <w:pPr>
        <w:pStyle w:val="FirstParagraph"/>
      </w:pPr>
      <w:r>
        <w:t xml:space="preserve">We establish a physical and digital hub in the heart of Amsterdam (near Centrum Wiskunde &amp; Informatica, CWI) where Mathematicians co-work with industry teams. Monthly "Math Challenges" invite companies to present real problems (e.g., "Optimize public transport routes using sparse data"), with Mathematician teams competing for funding to implement solutions. This embeds the profession into Amsterdam’s economic fabric, proving tangible value and attracting further investment in Netherlands Amsterdam.</w:t>
      </w:r>
    </w:p>
    <w:bookmarkEnd w:id="26"/>
    <w:bookmarkStart w:id="27" w:name="education-community-math-in-the-city"/>
    <w:p>
      <w:pPr>
        <w:pStyle w:val="Heading3"/>
      </w:pPr>
      <w:r>
        <w:t xml:space="preserve">4. Education &amp; Community: Math in the City</w:t>
      </w:r>
    </w:p>
    <w:p>
      <w:pPr>
        <w:pStyle w:val="FirstParagraph"/>
      </w:pPr>
      <w:r>
        <w:t xml:space="preserve">To nurture local talent, we launch "Mathematician Ambassadors" at Dutch universities—final-year students who host pop-up math events across Amsterdam (e.g., "Math Café" at De Nieuwe Kerk, solving city traffic puzzles). This demystifies the profession for students while building Amsterdam’s mathematical community. Partnerships with schools ensure early exposure to career paths in Netherlands Amsterdam.</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Netherlands Amsterdam</w:t>
            </w:r>
          </w:p>
        </w:tc>
      </w:tr>
      <w:tr>
        <w:tc>
          <w:tcPr/>
          <w:p>
            <w:pPr>
              <w:pStyle w:val="Compact"/>
              <w:jc w:val="left"/>
            </w:pPr>
            <w:r>
              <w:t xml:space="preserve">Foundation (Q1-Q2 2024)</w:t>
            </w:r>
          </w:p>
        </w:tc>
        <w:tc>
          <w:tcPr/>
          <w:p>
            <w:pPr>
              <w:pStyle w:val="Compact"/>
              <w:jc w:val="left"/>
            </w:pPr>
            <w:r>
              <w:t xml:space="preserve">Jan-Apr 2024</w:t>
            </w:r>
          </w:p>
        </w:tc>
        <w:tc>
          <w:tcPr/>
          <w:p>
            <w:pPr>
              <w:pStyle w:val="Compact"/>
              <w:jc w:val="left"/>
            </w:pPr>
            <w:r>
              <w:t xml:space="preserve">Lay infrastructure: Secure city funding, launch #AmsterdamMathChampion campaign, onboard first 10 industry partners.</w:t>
            </w:r>
          </w:p>
        </w:tc>
      </w:tr>
      <w:tr>
        <w:tc>
          <w:tcPr/>
          <w:p>
            <w:pPr>
              <w:pStyle w:val="Compact"/>
              <w:jc w:val="left"/>
            </w:pPr>
            <w:r>
              <w:t xml:space="preserve">Growth (Q3 2024-Q1 2025)</w:t>
            </w:r>
          </w:p>
        </w:tc>
        <w:tc>
          <w:tcPr/>
          <w:p>
            <w:pPr>
              <w:pStyle w:val="Compact"/>
              <w:jc w:val="left"/>
            </w:pPr>
            <w:r>
              <w:t xml:space="preserve">May-Dec 2024</w:t>
            </w:r>
          </w:p>
        </w:tc>
        <w:tc>
          <w:tcPr/>
          <w:p>
            <w:pPr>
              <w:pStyle w:val="Compact"/>
              <w:jc w:val="left"/>
            </w:pPr>
            <w:r>
              <w:t xml:space="preserve">Activate Math Mobility Program; host inaugural Math Challenge at Amsterdam Innovation Hub.</w:t>
            </w:r>
          </w:p>
        </w:tc>
      </w:tr>
      <w:tr>
        <w:tc>
          <w:tcPr/>
          <w:p>
            <w:pPr>
              <w:pStyle w:val="Compact"/>
              <w:jc w:val="left"/>
            </w:pPr>
            <w:r>
              <w:t xml:space="preserve">Maturity (Q2-Q4 2025)</w:t>
            </w:r>
          </w:p>
        </w:tc>
        <w:tc>
          <w:tcPr/>
          <w:p>
            <w:pPr>
              <w:pStyle w:val="Compact"/>
              <w:jc w:val="left"/>
            </w:pPr>
            <w:r>
              <w:t xml:space="preserve">Jan-Dec 2025</w:t>
            </w:r>
          </w:p>
        </w:tc>
        <w:tc>
          <w:tcPr/>
          <w:p>
            <w:pPr>
              <w:pStyle w:val="Compact"/>
              <w:jc w:val="left"/>
            </w:pPr>
            <w:r>
              <w:t xml:space="preserve">Scale to 30+ industry partnerships; launch nationwide university ambassador network.</w:t>
            </w:r>
          </w:p>
        </w:tc>
      </w:tr>
    </w:tbl>
    <w:bookmarkEnd w:id="29"/>
    <w:bookmarkStart w:id="30" w:name="success-metrics"/>
    <w:p>
      <w:pPr>
        <w:pStyle w:val="Heading2"/>
      </w:pPr>
      <w:r>
        <w:t xml:space="preserve">Success Metrics</w:t>
      </w:r>
    </w:p>
    <w:p>
      <w:pPr>
        <w:numPr>
          <w:ilvl w:val="0"/>
          <w:numId w:val="1003"/>
        </w:numPr>
        <w:pStyle w:val="Compact"/>
      </w:pPr>
      <w:r>
        <w:rPr>
          <w:bCs/>
          <w:b/>
        </w:rPr>
        <w:t xml:space="preserve">Talent Reach:</w:t>
      </w:r>
      <w:r>
        <w:t xml:space="preserve"> </w:t>
      </w:r>
      <w:r>
        <w:t xml:space="preserve">5,000+ unique visits to the Amsterdam Math Champions website (AmsterdamMathChampions.nl).</w:t>
      </w:r>
    </w:p>
    <w:p>
      <w:pPr>
        <w:numPr>
          <w:ilvl w:val="0"/>
          <w:numId w:val="1003"/>
        </w:numPr>
        <w:pStyle w:val="Compact"/>
      </w:pPr>
      <w:r>
        <w:rPr>
          <w:bCs/>
          <w:b/>
        </w:rPr>
        <w:t xml:space="preserve">Cultural Impact:</w:t>
      </w:r>
      <w:r>
        <w:t xml:space="preserve"> </w:t>
      </w:r>
      <w:r>
        <w:t xml:space="preserve">40% increase in LinkedIn mentions of "Mathematician" alongside "Amsterdam" by 2026.</w:t>
      </w:r>
    </w:p>
    <w:p>
      <w:pPr>
        <w:numPr>
          <w:ilvl w:val="0"/>
          <w:numId w:val="1003"/>
        </w:numPr>
        <w:pStyle w:val="Compact"/>
      </w:pPr>
      <w:r>
        <w:rPr>
          <w:bCs/>
          <w:b/>
        </w:rPr>
        <w:t xml:space="preserve">Business Outcomes:</w:t>
      </w:r>
      <w:r>
        <w:t xml:space="preserve"> </w:t>
      </w:r>
      <w:r>
        <w:t xml:space="preserve">35% reduction in time-to-hire for mathematical roles among partner firms.</w:t>
      </w:r>
    </w:p>
    <w:bookmarkEnd w:id="30"/>
    <w:bookmarkStart w:id="31" w:name="X88746efb2d10451f28118cc900230583ac14489"/>
    <w:p>
      <w:pPr>
        <w:pStyle w:val="Heading2"/>
      </w:pPr>
      <w:r>
        <w:t xml:space="preserve">Conclusion: Mathematicians as Amsterdam’s Future</w:t>
      </w:r>
    </w:p>
    <w:p>
      <w:pPr>
        <w:pStyle w:val="FirstParagraph"/>
      </w:pPr>
      <w:r>
        <w:t xml:space="preserve">This Marketing Plan transcends traditional talent acquisition—it positions the Mathematician as the indispensable architect of Netherlands Amsterdam’s next decade. By embedding mathematicians in daily innovation narratives, we transform how the world perceives both mathematics and Amsterdam. In a city where data drives port operations, finance, and climate action, every Mathematician is a strategic asset. This plan ensures that when global innovators think of Netherlands Amsterdam as an engine of progress, they first think of the Mathematician leading the charge. The time to elevate this profession is now—Amsterdam’s future demands 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the Mathematician Profession in Netherlands Amsterdam</dc:title>
  <dc:creator/>
  <dc:language>en</dc:language>
  <cp:keywords/>
  <dcterms:created xsi:type="dcterms:W3CDTF">2026-07-22T16:39:39Z</dcterms:created>
  <dcterms:modified xsi:type="dcterms:W3CDTF">2026-07-22T16:39:39Z</dcterms:modified>
</cp:coreProperties>
</file>

<file path=docProps/custom.xml><?xml version="1.0" encoding="utf-8"?>
<Properties xmlns="http://schemas.openxmlformats.org/officeDocument/2006/custom-properties" xmlns:vt="http://schemas.openxmlformats.org/officeDocument/2006/docPropsVTypes"/>
</file>