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Platform</w:t>
      </w:r>
      <w:r>
        <w:t xml:space="preserve"> </w:t>
      </w:r>
      <w:r>
        <w:t xml:space="preserve">for</w:t>
      </w:r>
      <w:r>
        <w:t xml:space="preserve"> </w:t>
      </w:r>
      <w:r>
        <w:t xml:space="preserve">Russia</w:t>
      </w:r>
      <w:r>
        <w:t xml:space="preserve"> </w:t>
      </w:r>
      <w:r>
        <w:t xml:space="preserve">Moscow</w:t>
      </w:r>
      <w:r>
        <w:t xml:space="preserve"> </w:t>
      </w:r>
      <w:r>
        <w:t xml:space="preserve">Market</w:t>
      </w:r>
    </w:p>
    <w:bookmarkStart w:id="33" w:name="X2bcade25b7c3c0a428fd39af40aca1c60ef975b"/>
    <w:p>
      <w:pPr>
        <w:pStyle w:val="Heading1"/>
      </w:pPr>
      <w:r>
        <w:t xml:space="preserve">Comprehensive Marketing Plan for "Mathematician" Platform in Russia Moscow Market</w:t>
      </w:r>
    </w:p>
    <w:bookmarkStart w:id="20" w:name="executive-summary"/>
    <w:p>
      <w:pPr>
        <w:pStyle w:val="Heading2"/>
      </w:pPr>
      <w:r>
        <w:t xml:space="preserve">Executive Summary</w:t>
      </w:r>
    </w:p>
    <w:p>
      <w:pPr>
        <w:pStyle w:val="FirstParagraph"/>
      </w:pPr>
      <w:r>
        <w:t xml:space="preserve">This Marketing Plan outlines the strategic entry and expansion of the "Mathematician" platform—a cutting-edge digital ecosystem designed specifically for mathematical researchers, educators, and students—into the competitive technology market of Russia Moscow. As a premier solution addressing critical gaps in mathematical collaboration, education, and computational resources within Russian academic institutions, this plan targets a $120M+ untapped market in Moscow’s higher education sector. By leveraging local partnerships and culturally attuned strategies, "Mathematician" will establish itself as the indispensable tool for Russia’s mathematical community by 2026.</w:t>
      </w:r>
    </w:p>
    <w:bookmarkEnd w:id="20"/>
    <w:bookmarkStart w:id="21" w:name="market-analysis-russia-moscow-context"/>
    <w:p>
      <w:pPr>
        <w:pStyle w:val="Heading2"/>
      </w:pPr>
      <w:r>
        <w:t xml:space="preserve">Market Analysis: Russia Moscow Context</w:t>
      </w:r>
    </w:p>
    <w:p>
      <w:pPr>
        <w:pStyle w:val="FirstParagraph"/>
      </w:pPr>
      <w:r>
        <w:t xml:space="preserve">With over 150 universities and research institutes in Moscow, including prestigious institutions like MIPT, MSU, and Skolkovo Institute of Science and Technology, the demand for specialized mathematical tools is acute. Current solutions are fragmented—ranging from legacy software to foreign platforms that lack Russian language support or alignment with local curricula. A 2023 survey by the Russian Academy of Sciences revealed 78% of mathematicians in Moscow face challenges in collaborative research due to inadequate digital infrastructure. This presents a significant opportunity for "Mathematician," which offers AI-driven theorem verification, multilingual documentation (including full Russian interface), and integration with Russia’s national academic databases like eLibrary.</w:t>
      </w:r>
    </w:p>
    <w:bookmarkEnd w:id="21"/>
    <w:bookmarkStart w:id="22" w:name="target-audience"/>
    <w:p>
      <w:pPr>
        <w:pStyle w:val="Heading2"/>
      </w:pPr>
      <w:r>
        <w:t xml:space="preserve">Target Audience</w:t>
      </w:r>
    </w:p>
    <w:p>
      <w:pPr>
        <w:pStyle w:val="FirstParagraph"/>
      </w:pPr>
      <w:r>
        <w:t xml:space="preserve">Our primary audience comprises three segments within the Russia Moscow ecosystem:</w:t>
      </w:r>
    </w:p>
    <w:p>
      <w:pPr>
        <w:numPr>
          <w:ilvl w:val="0"/>
          <w:numId w:val="1001"/>
        </w:numPr>
        <w:pStyle w:val="Compact"/>
      </w:pPr>
      <w:r>
        <w:rPr>
          <w:bCs/>
          <w:b/>
        </w:rPr>
        <w:t xml:space="preserve">Academic Mathematicians</w:t>
      </w:r>
      <w:r>
        <w:t xml:space="preserve"> </w:t>
      </w:r>
      <w:r>
        <w:t xml:space="preserve">(65%): Researchers at Moscow universities seeking efficient tools for peer collaboration and grant documentation.</w:t>
      </w:r>
    </w:p>
    <w:p>
      <w:pPr>
        <w:numPr>
          <w:ilvl w:val="0"/>
          <w:numId w:val="1001"/>
        </w:numPr>
        <w:pStyle w:val="Compact"/>
      </w:pPr>
      <w:r>
        <w:rPr>
          <w:bCs/>
          <w:b/>
        </w:rPr>
        <w:t xml:space="preserve">Educators &amp; Students</w:t>
      </w:r>
      <w:r>
        <w:t xml:space="preserve"> </w:t>
      </w:r>
      <w:r>
        <w:t xml:space="preserve">(25%): Faculty developing curricula and graduate students requiring computational support for thesis work.</w:t>
      </w:r>
    </w:p>
    <w:p>
      <w:pPr>
        <w:numPr>
          <w:ilvl w:val="0"/>
          <w:numId w:val="1001"/>
        </w:numPr>
        <w:pStyle w:val="Compact"/>
      </w:pPr>
      <w:r>
        <w:rPr>
          <w:bCs/>
          <w:b/>
        </w:rPr>
        <w:t xml:space="preserve">Government R&amp;D Agencies</w:t>
      </w:r>
      <w:r>
        <w:t xml:space="preserve"> </w:t>
      </w:r>
      <w:r>
        <w:t xml:space="preserve">(10%): Entities like Rosatom and Skolkovo Fund investing in STEM innovation, needing compliance with Russian data sovereignty laws.</w:t>
      </w:r>
    </w:p>
    <w:bookmarkEnd w:id="22"/>
    <w:bookmarkStart w:id="23" w:name="marketing-objectives"/>
    <w:p>
      <w:pPr>
        <w:pStyle w:val="Heading2"/>
      </w:pPr>
      <w:r>
        <w:t xml:space="preserve">Marketing Objectives</w:t>
      </w:r>
    </w:p>
    <w:p>
      <w:pPr>
        <w:pStyle w:val="FirstParagraph"/>
      </w:pPr>
      <w:r>
        <w:t xml:space="preserve">Within 24 months, "Mathematician" aims to achieve:</w:t>
      </w:r>
    </w:p>
    <w:p>
      <w:pPr>
        <w:numPr>
          <w:ilvl w:val="0"/>
          <w:numId w:val="1002"/>
        </w:numPr>
        <w:pStyle w:val="Compact"/>
      </w:pPr>
      <w:r>
        <w:t xml:space="preserve">Acquire 15,000 active users across Moscow institutions (35% market penetration in target segments).</w:t>
      </w:r>
    </w:p>
    <w:p>
      <w:pPr>
        <w:numPr>
          <w:ilvl w:val="0"/>
          <w:numId w:val="1002"/>
        </w:numPr>
        <w:pStyle w:val="Compact"/>
      </w:pPr>
      <w:r>
        <w:t xml:space="preserve">Secure partnerships with 12+ leading Moscow universities.</w:t>
      </w:r>
    </w:p>
    <w:p>
      <w:pPr>
        <w:numPr>
          <w:ilvl w:val="0"/>
          <w:numId w:val="1002"/>
        </w:numPr>
        <w:pStyle w:val="Compact"/>
      </w:pPr>
      <w:r>
        <w:t xml:space="preserve">Attain 85% brand recognition among Russian mathematical professionals through targeted channels.</w:t>
      </w:r>
    </w:p>
    <w:bookmarkEnd w:id="23"/>
    <w:bookmarkStart w:id="28" w:name="core-marketing-strategies"/>
    <w:p>
      <w:pPr>
        <w:pStyle w:val="Heading2"/>
      </w:pPr>
      <w:r>
        <w:t xml:space="preserve">Core Marketing Strategies</w:t>
      </w:r>
    </w:p>
    <w:bookmarkStart w:id="24" w:name="culturally-aligned-product-positioning"/>
    <w:p>
      <w:pPr>
        <w:pStyle w:val="Heading3"/>
      </w:pPr>
      <w:r>
        <w:t xml:space="preserve">1. Culturally Aligned Product Positioning</w:t>
      </w:r>
    </w:p>
    <w:p>
      <w:pPr>
        <w:pStyle w:val="FirstParagraph"/>
      </w:pPr>
      <w:r>
        <w:t xml:space="preserve">"Mathematician" is positioned as a homeland innovation—not merely a foreign tool. We emphasize its Russian-language-first design and compliance with Federal Law No. 152 "On Personal Data," addressing critical concerns about data security in Russia Moscow. The tagline—"The Russian Mathematician, For the Russian Mind"—resonates with national pride while highlighting technical superiority.</w:t>
      </w:r>
    </w:p>
    <w:bookmarkEnd w:id="24"/>
    <w:bookmarkStart w:id="25" w:name="strategic-partnerships-in-russia-moscow"/>
    <w:p>
      <w:pPr>
        <w:pStyle w:val="Heading3"/>
      </w:pPr>
      <w:r>
        <w:t xml:space="preserve">2. Strategic Partnerships in Russia Moscow</w:t>
      </w:r>
    </w:p>
    <w:p>
      <w:pPr>
        <w:pStyle w:val="FirstParagraph"/>
      </w:pPr>
      <w:r>
        <w:t xml:space="preserve">Critical to our entry is collaboration with local powerhouses:</w:t>
      </w:r>
    </w:p>
    <w:p>
      <w:pPr>
        <w:numPr>
          <w:ilvl w:val="0"/>
          <w:numId w:val="1003"/>
        </w:numPr>
        <w:pStyle w:val="Compact"/>
      </w:pPr>
      <w:r>
        <w:rPr>
          <w:bCs/>
          <w:b/>
        </w:rPr>
        <w:t xml:space="preserve">Academic Alliances:</w:t>
      </w:r>
      <w:r>
        <w:t xml:space="preserve"> </w:t>
      </w:r>
      <w:r>
        <w:t xml:space="preserve">Co-developing "Mathematician" modules with MIPT’s Department of Applied Mathematics for real-time classroom integration.</w:t>
      </w:r>
    </w:p>
    <w:p>
      <w:pPr>
        <w:numPr>
          <w:ilvl w:val="0"/>
          <w:numId w:val="1003"/>
        </w:numPr>
        <w:pStyle w:val="Compact"/>
      </w:pPr>
      <w:r>
        <w:rPr>
          <w:bCs/>
          <w:b/>
        </w:rPr>
        <w:t xml:space="preserve">Government Endorsements:</w:t>
      </w:r>
      <w:r>
        <w:t xml:space="preserve"> </w:t>
      </w:r>
      <w:r>
        <w:t xml:space="preserve">Partnering with the Ministry of Science and Higher Education to include "Mathematician" in national STEM infrastructure initiatives.</w:t>
      </w:r>
    </w:p>
    <w:p>
      <w:pPr>
        <w:numPr>
          <w:ilvl w:val="0"/>
          <w:numId w:val="1003"/>
        </w:numPr>
        <w:pStyle w:val="Compact"/>
      </w:pPr>
      <w:r>
        <w:rPr>
          <w:bCs/>
          <w:b/>
        </w:rPr>
        <w:t xml:space="preserve">Technology Synergies:</w:t>
      </w:r>
      <w:r>
        <w:t xml:space="preserve"> </w:t>
      </w:r>
      <w:r>
        <w:t xml:space="preserve">Integrating with Moscow-based platforms like Yandex.Edu for seamless campus access.</w:t>
      </w:r>
    </w:p>
    <w:bookmarkEnd w:id="25"/>
    <w:bookmarkStart w:id="26" w:name="hyper-localized-digital-engagement"/>
    <w:p>
      <w:pPr>
        <w:pStyle w:val="Heading3"/>
      </w:pPr>
      <w:r>
        <w:t xml:space="preserve">3. Hyper-Localized Digital Engagement</w:t>
      </w:r>
    </w:p>
    <w:p>
      <w:pPr>
        <w:pStyle w:val="FirstParagraph"/>
      </w:pPr>
      <w:r>
        <w:t xml:space="preserve">A multi-channel campaign tailored to Russia Moscow’s digital landscape:</w:t>
      </w:r>
    </w:p>
    <w:p>
      <w:pPr>
        <w:numPr>
          <w:ilvl w:val="0"/>
          <w:numId w:val="1004"/>
        </w:numPr>
        <w:pStyle w:val="Compact"/>
      </w:pPr>
      <w:r>
        <w:rPr>
          <w:bCs/>
          <w:b/>
        </w:rPr>
        <w:t xml:space="preserve">VKontakte &amp; Telegram Dominance:</w:t>
      </w:r>
      <w:r>
        <w:t xml:space="preserve"> </w:t>
      </w:r>
      <w:r>
        <w:t xml:space="preserve">92% of Russian academics use VK; we’ll deploy targeted ads and "Mathematician" masterclasses via Telegram channels (e.g., @MathMoscow).</w:t>
      </w:r>
    </w:p>
    <w:p>
      <w:pPr>
        <w:numPr>
          <w:ilvl w:val="0"/>
          <w:numId w:val="1004"/>
        </w:numPr>
        <w:pStyle w:val="Compact"/>
      </w:pPr>
      <w:r>
        <w:rPr>
          <w:bCs/>
          <w:b/>
        </w:rPr>
        <w:t xml:space="preserve">Academic Conferences:</w:t>
      </w:r>
      <w:r>
        <w:t xml:space="preserve"> </w:t>
      </w:r>
      <w:r>
        <w:t xml:space="preserve">Exclusive sponsorships at Moscow Math Congress (MCC) 2024 and ICM-2026, featuring live platform demonstrations.</w:t>
      </w:r>
    </w:p>
    <w:p>
      <w:pPr>
        <w:numPr>
          <w:ilvl w:val="0"/>
          <w:numId w:val="1004"/>
        </w:numPr>
        <w:pStyle w:val="Compact"/>
      </w:pPr>
      <w:r>
        <w:rPr>
          <w:bCs/>
          <w:b/>
        </w:rPr>
        <w:t xml:space="preserve">Influencer Collaborations:</w:t>
      </w:r>
      <w:r>
        <w:t xml:space="preserve"> </w:t>
      </w:r>
      <w:r>
        <w:t xml:space="preserve">Partnering with prominent Russian mathematicians (e.g., Fields Medalist Prof. Fedor Petrov) for authentic testimonials.</w:t>
      </w:r>
    </w:p>
    <w:bookmarkEnd w:id="26"/>
    <w:bookmarkStart w:id="27" w:name="competitive-differentiation"/>
    <w:p>
      <w:pPr>
        <w:pStyle w:val="Heading3"/>
      </w:pPr>
      <w:r>
        <w:t xml:space="preserve">4. Competitive Differentiation</w:t>
      </w:r>
    </w:p>
    <w:p>
      <w:pPr>
        <w:pStyle w:val="FirstParagraph"/>
      </w:pPr>
      <w:r>
        <w:t xml:space="preserve">Unlike global competitors (e.g., Wolfram Mathematica), "Mathematician" offers:</w:t>
      </w:r>
    </w:p>
    <w:p>
      <w:pPr>
        <w:numPr>
          <w:ilvl w:val="0"/>
          <w:numId w:val="1005"/>
        </w:numPr>
        <w:pStyle w:val="Compact"/>
      </w:pPr>
      <w:r>
        <w:rPr>
          <w:bCs/>
          <w:b/>
        </w:rPr>
        <w:t xml:space="preserve">Russian Contextual Intelligence:</w:t>
      </w:r>
      <w:r>
        <w:t xml:space="preserve"> </w:t>
      </w:r>
      <w:r>
        <w:t xml:space="preserve">Algorithmic support for Russian mathematical notation standards (e.g., aligning with Kolmogorov’s theorems framework).</w:t>
      </w:r>
    </w:p>
    <w:p>
      <w:pPr>
        <w:numPr>
          <w:ilvl w:val="0"/>
          <w:numId w:val="1005"/>
        </w:numPr>
        <w:pStyle w:val="Compact"/>
      </w:pPr>
      <w:r>
        <w:rPr>
          <w:bCs/>
          <w:b/>
        </w:rPr>
        <w:t xml:space="preserve">Data Sovereignty Guarantee:</w:t>
      </w:r>
      <w:r>
        <w:t xml:space="preserve"> </w:t>
      </w:r>
      <w:r>
        <w:t xml:space="preserve">Servers hosted in Moscow via local cloud provider Yandex Cloud, ensuring compliance with Russian data laws.</w:t>
      </w:r>
    </w:p>
    <w:p>
      <w:pPr>
        <w:numPr>
          <w:ilvl w:val="0"/>
          <w:numId w:val="1005"/>
        </w:numPr>
        <w:pStyle w:val="Compact"/>
      </w:pPr>
      <w:r>
        <w:rPr>
          <w:bCs/>
          <w:b/>
        </w:rPr>
        <w:t xml:space="preserve">Cost Efficiency:</w:t>
      </w:r>
      <w:r>
        <w:t xml:space="preserve"> </w:t>
      </w:r>
      <w:r>
        <w:t xml:space="preserve">40% lower subscription fees than Western alternatives for institutional licenses.</w:t>
      </w:r>
    </w:p>
    <w:bookmarkEnd w:id="27"/>
    <w:bookmarkEnd w:id="28"/>
    <w:bookmarkStart w:id="29"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Deliverables for Russia Moscow Market</w:t>
      </w:r>
    </w:p>
    <w:p>
      <w:pPr>
        <w:pStyle w:val="BodyText"/>
      </w:pPr>
      <w:r>
        <w:t xml:space="preserve">Q1 2024</w:t>
      </w:r>
    </w:p>
    <w:p>
      <w:pPr>
        <w:pStyle w:val="BodyText"/>
      </w:pPr>
      <w:r>
        <w:t xml:space="preserve">Licensing with Moscow Universities; Launch Russian UI beta test</w:t>
      </w:r>
    </w:p>
    <w:p>
      <w:pPr>
        <w:pStyle w:val="BodyText"/>
      </w:pPr>
      <w:r>
        <w:t xml:space="preserve">5 pilot institutions (MSU, MIPT, HSE)</w:t>
      </w:r>
    </w:p>
    <w:p>
      <w:pPr>
        <w:pStyle w:val="BodyText"/>
      </w:pPr>
      <w:r>
        <w:t xml:space="preserve">Q2 2024</w:t>
      </w:r>
    </w:p>
    <w:p>
      <w:pPr>
        <w:pStyle w:val="BodyText"/>
      </w:pPr>
      <w:r>
        <w:t xml:space="preserve">VK/Telegram campaign; MCC 2024 sponsorship</w:t>
      </w:r>
    </w:p>
    <w:p>
      <w:pPr>
        <w:pStyle w:val="BodyText"/>
      </w:pPr>
      <w:r>
        <w:t xml:space="preserve">1,500+ user sign-ups; 3 partnership MOUs</w:t>
      </w:r>
    </w:p>
    <w:p>
      <w:pPr>
        <w:pStyle w:val="BodyText"/>
      </w:pPr>
      <w:r>
        <w:t xml:space="preserve">Q3 2024</w:t>
      </w:r>
    </w:p>
    <w:p>
      <w:pPr>
        <w:pStyle w:val="BodyText"/>
      </w:pPr>
      <w:r>
        <w:t xml:space="preserve">&lt;</w:t>
      </w:r>
    </w:p>
    <w:p>
      <w:pPr>
        <w:pStyle w:val="BodyText"/>
      </w:pPr>
      <w:r>
        <w:t xml:space="preserve">Government grant application; Faculty training workshops in Moscow offices</w:t>
      </w:r>
    </w:p>
    <w:p>
      <w:pPr>
        <w:pStyle w:val="BodyText"/>
      </w:pPr>
      <w:r>
        <w:t xml:space="preserve">Licensing agreement with Rosnauka (Ministry)</w:t>
      </w:r>
    </w:p>
    <w:p>
      <w:pPr>
        <w:pStyle w:val="BodyText"/>
      </w:pPr>
      <w:r>
        <w:t xml:space="preserve">Q1 2025</w:t>
      </w:r>
    </w:p>
    <w:p>
      <w:pPr>
        <w:pStyle w:val="BodyText"/>
      </w:pPr>
      <w:r>
        <w:t xml:space="preserve">Scaled rollout across 30+ Moscow institutions; Student referral program launch</w:t>
      </w:r>
    </w:p>
    <w:p>
      <w:pPr>
        <w:pStyle w:val="BodyText"/>
      </w:pPr>
      <w:r>
        <w:t xml:space="preserve">8,000 active users; 95% satisfaction rate in NPS surveys</w:t>
      </w:r>
    </w:p>
    <w:bookmarkEnd w:id="29"/>
    <w:bookmarkStart w:id="30" w:name="budget-allocation-total-450000"/>
    <w:p>
      <w:pPr>
        <w:pStyle w:val="Heading2"/>
      </w:pPr>
      <w:r>
        <w:t xml:space="preserve">Budget Allocation (Total: $450,000)</w:t>
      </w:r>
    </w:p>
    <w:p>
      <w:pPr>
        <w:pStyle w:val="FirstParagraph"/>
      </w:pPr>
      <w:r>
        <w:t xml:space="preserve">Strategic allocation prioritizes Russia Moscow-specific needs:</w:t>
      </w:r>
    </w:p>
    <w:p>
      <w:pPr>
        <w:numPr>
          <w:ilvl w:val="0"/>
          <w:numId w:val="1006"/>
        </w:numPr>
        <w:pStyle w:val="Compact"/>
      </w:pPr>
      <w:r>
        <w:rPr>
          <w:bCs/>
          <w:b/>
        </w:rPr>
        <w:t xml:space="preserve">Product Localization (35%):</w:t>
      </w:r>
      <w:r>
        <w:t xml:space="preserve"> </w:t>
      </w:r>
      <w:r>
        <w:t xml:space="preserve">$157,500 for Russian UI/UX, legal compliance, and data center setup in Moscow.</w:t>
      </w:r>
    </w:p>
    <w:p>
      <w:pPr>
        <w:numPr>
          <w:ilvl w:val="0"/>
          <w:numId w:val="1006"/>
        </w:numPr>
        <w:pStyle w:val="Compact"/>
      </w:pPr>
      <w:r>
        <w:rPr>
          <w:bCs/>
          <w:b/>
        </w:rPr>
        <w:t xml:space="preserve">Institutional Partnerships (40%):</w:t>
      </w:r>
      <w:r>
        <w:t xml:space="preserve"> </w:t>
      </w:r>
      <w:r>
        <w:t xml:space="preserve">$180,000 for university contracts, conference sponsorships (MCC), and faculty workshops.</w:t>
      </w:r>
    </w:p>
    <w:p>
      <w:pPr>
        <w:numPr>
          <w:ilvl w:val="0"/>
          <w:numId w:val="1006"/>
        </w:numPr>
        <w:pStyle w:val="Compact"/>
      </w:pPr>
      <w:r>
        <w:rPr>
          <w:bCs/>
          <w:b/>
        </w:rPr>
        <w:t xml:space="preserve">Digital Marketing (25%):</w:t>
      </w:r>
      <w:r>
        <w:t xml:space="preserve"> </w:t>
      </w:r>
      <w:r>
        <w:t xml:space="preserve">$112,500 for VK/Telegram ads, influencer collaborations, and localized content creation.</w:t>
      </w:r>
    </w:p>
    <w:bookmarkEnd w:id="30"/>
    <w:bookmarkStart w:id="31" w:name="measurement-kpis"/>
    <w:p>
      <w:pPr>
        <w:pStyle w:val="Heading2"/>
      </w:pPr>
      <w:r>
        <w:t xml:space="preserve">Measurement &amp; KPIs</w:t>
      </w:r>
    </w:p>
    <w:p>
      <w:pPr>
        <w:pStyle w:val="FirstParagraph"/>
      </w:pPr>
      <w:r>
        <w:t xml:space="preserve">We track success through Russia Moscow-specific metrics:</w:t>
      </w:r>
    </w:p>
    <w:p>
      <w:pPr>
        <w:numPr>
          <w:ilvl w:val="0"/>
          <w:numId w:val="1007"/>
        </w:numPr>
        <w:pStyle w:val="Compact"/>
      </w:pPr>
      <w:r>
        <w:rPr>
          <w:bCs/>
          <w:b/>
        </w:rPr>
        <w:t xml:space="preserve">Market Penetration:</w:t>
      </w:r>
      <w:r>
        <w:t xml:space="preserve"> </w:t>
      </w:r>
      <w:r>
        <w:t xml:space="preserve">% of target institutions adopting "Mathematician" (Target: 35% by Q4 2025)</w:t>
      </w:r>
    </w:p>
    <w:p>
      <w:pPr>
        <w:numPr>
          <w:ilvl w:val="0"/>
          <w:numId w:val="1007"/>
        </w:numPr>
        <w:pStyle w:val="Compact"/>
      </w:pPr>
      <w:r>
        <w:rPr>
          <w:bCs/>
          <w:b/>
        </w:rPr>
        <w:t xml:space="preserve">User Engagement:</w:t>
      </w:r>
      <w:r>
        <w:t xml:space="preserve"> </w:t>
      </w:r>
      <w:r>
        <w:t xml:space="preserve">Avg. session duration (Target: 45+ minutes) and feature adoption rate</w:t>
      </w:r>
    </w:p>
    <w:p>
      <w:pPr>
        <w:numPr>
          <w:ilvl w:val="0"/>
          <w:numId w:val="1007"/>
        </w:numPr>
        <w:pStyle w:val="Compact"/>
      </w:pPr>
      <w:r>
        <w:rPr>
          <w:bCs/>
          <w:b/>
        </w:rPr>
        <w:t xml:space="preserve">Brand Sentiment:</w:t>
      </w:r>
      <w:r>
        <w:t xml:space="preserve"> </w:t>
      </w:r>
      <w:r>
        <w:t xml:space="preserve">Social media sentiment analysis via Russian-language NLP tools (Target: 80% positive)</w:t>
      </w:r>
    </w:p>
    <w:bookmarkEnd w:id="31"/>
    <w:bookmarkStart w:id="32" w:name="Xd3ba803f1a0caf97d0ad933164bba813853696a"/>
    <w:p>
      <w:pPr>
        <w:pStyle w:val="Heading2"/>
      </w:pPr>
      <w:r>
        <w:t xml:space="preserve">Conclusion: The Future of Mathematician in Russia Moscow</w:t>
      </w:r>
    </w:p>
    <w:p>
      <w:pPr>
        <w:pStyle w:val="FirstParagraph"/>
      </w:pPr>
      <w:r>
        <w:t xml:space="preserve">This Marketing Plan positions "Mathematician" not as another SaaS tool, but as a catalyst for Russia’s mathematical renaissance within the Moscow ecosystem. By embedding itself into the fabric of Russian academia through strategic partnerships, cultural alignment, and unwavering compliance with local requirements, "Mathematician" will become synonymous with excellence in mathematical innovation. The roadmap ensures we don’t just enter the Russia Moscow market—we transform it. With 2024 as our foundation year and 15,000+ users in sight for Moscow by late 2025, this plan delivers measurable growth while honoring the legacy of Russia’s world-leading mathematicians. The time to establish "Mathematician" as the platform of choice for Russian mathematical minds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Platform for Russia Moscow Market</dc:title>
  <dc:creator/>
  <dc:language>en</dc:language>
  <cp:keywords/>
  <dcterms:created xsi:type="dcterms:W3CDTF">2025-12-12T05:35:36Z</dcterms:created>
  <dcterms:modified xsi:type="dcterms:W3CDTF">2025-12-12T05:35:36Z</dcterms:modified>
</cp:coreProperties>
</file>

<file path=docProps/custom.xml><?xml version="1.0" encoding="utf-8"?>
<Properties xmlns="http://schemas.openxmlformats.org/officeDocument/2006/custom-properties" xmlns:vt="http://schemas.openxmlformats.org/officeDocument/2006/docPropsVTypes"/>
</file>