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31" w:name="Xbed1385950e682a26bc1b0e556bf7f2d6f33eca"/>
    <w:p>
      <w:pPr>
        <w:pStyle w:val="Heading1"/>
      </w:pPr>
      <w:r>
        <w:t xml:space="preserve">Marketing Plan: Elevating the Mathematician's Role in Russia Saint Petersburg's Academic Ecosystem</w:t>
      </w:r>
    </w:p>
    <w:bookmarkStart w:id="20" w:name="executive-summary"/>
    <w:p>
      <w:pPr>
        <w:pStyle w:val="Heading2"/>
      </w:pPr>
      <w:r>
        <w:t xml:space="preserve">Executive Summary</w:t>
      </w:r>
    </w:p>
    <w:p>
      <w:pPr>
        <w:pStyle w:val="FirstParagraph"/>
      </w:pPr>
      <w:r>
        <w:t xml:space="preserve">This comprehensive Marketing Plan outlines strategic initiatives to position Saint Petersburg as Russia's premier hub for mathematical innovation. Targeting 50+ mathematicians at leading institutions like St. Petersburg State University, the Steklov Institute of Mathematics, and ITMO University, we aim to establish "MathPro Saint Petersburg" – a collaborative platform enhancing research visibility, industry partnerships, and talent retention. By addressing systemic challenges in Russia's mathematical community through culturally tailored marketing, this plan secures 30% market penetration among key institutions within 24 months while strengthening Saint Petersburg's global reputation as a mathematician's destination.</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 remains Russia's second-largest academic center with 18% of national mathematical research output, yet faces critical challenges: 42% of top mathematicians leave for Western institutions due to limited industry collaboration (Russian Academy of Sciences, 2023). Unlike Moscow's commercial focus, Saint Petersburg offers unparalleled historical legacy – from Euler's foundational work to modern fields like algebraic geometry. However, this potential is underleveraged due to fragmented communication between academia and industry. The Russian government's "National Project 'Science'" allocates $1.2B annually for STEM, creating urgent demand for platforms connecting mathematicians with sectoral applications in fintech (e.g., Sberbank), engineering, and AI startups across Russia Saint Petersburg.</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1"/>
        </w:numPr>
        <w:pStyle w:val="Compact"/>
      </w:pPr>
      <w:r>
        <w:rPr>
          <w:bCs/>
          <w:b/>
        </w:rPr>
        <w:t xml:space="preserve">Senior Mathematicians (45-65):</w:t>
      </w:r>
      <w:r>
        <w:t xml:space="preserve"> </w:t>
      </w:r>
      <w:r>
        <w:t xml:space="preserve">Seeking industry partnerships to fund research beyond state grants (e.g., quantum computing projects at ITMO)</w:t>
      </w:r>
    </w:p>
    <w:p>
      <w:pPr>
        <w:numPr>
          <w:ilvl w:val="0"/>
          <w:numId w:val="1001"/>
        </w:numPr>
        <w:pStyle w:val="Compact"/>
      </w:pPr>
      <w:r>
        <w:rPr>
          <w:bCs/>
          <w:b/>
        </w:rPr>
        <w:t xml:space="preserve">Early-Career Researchers:</w:t>
      </w:r>
      <w:r>
        <w:t xml:space="preserve"> </w:t>
      </w:r>
      <w:r>
        <w:t xml:space="preserve">Desiring career pathways bridging academia and Russian tech firms like Yandex AI</w:t>
      </w:r>
    </w:p>
    <w:p>
      <w:pPr>
        <w:numPr>
          <w:ilvl w:val="0"/>
          <w:numId w:val="1001"/>
        </w:numPr>
        <w:pStyle w:val="Compact"/>
      </w:pPr>
      <w:r>
        <w:rPr>
          <w:bCs/>
          <w:b/>
        </w:rPr>
        <w:t xml:space="preserve">Institutional Decision-Makers:</w:t>
      </w:r>
      <w:r>
        <w:t xml:space="preserve"> </w:t>
      </w:r>
      <w:r>
        <w:t xml:space="preserve">University deans aiming to boost Saint Petersburg's global STEM rankings</w:t>
      </w:r>
    </w:p>
    <w:p>
      <w:pPr>
        <w:pStyle w:val="FirstParagraph"/>
      </w:pPr>
      <w:r>
        <w:t xml:space="preserve">The core value proposition positions "MathPro Saint Petersburg" as the only solution integrating:</w:t>
      </w:r>
    </w:p>
    <w:p>
      <w:pPr>
        <w:numPr>
          <w:ilvl w:val="0"/>
          <w:numId w:val="1002"/>
        </w:numPr>
        <w:pStyle w:val="Compact"/>
      </w:pPr>
      <w:r>
        <w:t xml:space="preserve">Industry-funded research projects directly tied to Russia's strategic sectors</w:t>
      </w:r>
    </w:p>
    <w:p>
      <w:pPr>
        <w:numPr>
          <w:ilvl w:val="0"/>
          <w:numId w:val="1002"/>
        </w:numPr>
        <w:pStyle w:val="Compact"/>
      </w:pPr>
      <w:r>
        <w:t xml:space="preserve">Cultural sensitivity training for mathematicians engaging with Russian business norms</w:t>
      </w:r>
    </w:p>
    <w:p>
      <w:pPr>
        <w:numPr>
          <w:ilvl w:val="0"/>
          <w:numId w:val="1002"/>
        </w:numPr>
        <w:pStyle w:val="Compact"/>
      </w:pPr>
      <w:r>
        <w:t xml:space="preserve">A localized digital hub (Russian-language interface) facilitating seamless collaboration in Saint Petersburg's academic ecosystem</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mos):</w:t>
      </w:r>
      <w:r>
        <w:t xml:space="preserve"> </w:t>
      </w:r>
      <w:r>
        <w:t xml:space="preserve">Achieve 85% brand awareness among top 5 Saint Petersburg mathematics departments</w:t>
      </w:r>
    </w:p>
    <w:p>
      <w:pPr>
        <w:numPr>
          <w:ilvl w:val="0"/>
          <w:numId w:val="1003"/>
        </w:numPr>
        <w:pStyle w:val="Compact"/>
      </w:pPr>
      <w:r>
        <w:rPr>
          <w:bCs/>
          <w:b/>
        </w:rPr>
        <w:t xml:space="preserve">Mid-Term (7-12 mos):</w:t>
      </w:r>
      <w:r>
        <w:t xml:space="preserve"> </w:t>
      </w:r>
      <w:r>
        <w:t xml:space="preserve">Secure partnerships with 3+ Russian tech giants and attract 120+ mathematician members</w:t>
      </w:r>
    </w:p>
    <w:p>
      <w:pPr>
        <w:numPr>
          <w:ilvl w:val="0"/>
          <w:numId w:val="1003"/>
        </w:numPr>
        <w:pStyle w:val="Compact"/>
      </w:pPr>
      <w:r>
        <w:rPr>
          <w:bCs/>
          <w:b/>
        </w:rPr>
        <w:t xml:space="preserve">Long-Term (13-24 mos):</w:t>
      </w:r>
      <w:r>
        <w:t xml:space="preserve"> </w:t>
      </w:r>
      <w:r>
        <w:t xml:space="preserve">Position Saint Petersburg as Russia's #1 destination for mathematical talent retention (reducing brain drain by 25%)</w:t>
      </w:r>
    </w:p>
    <w:bookmarkEnd w:id="23"/>
    <w:bookmarkStart w:id="27" w:name="X841ca5ce91424cf707d4165f8327af416aaed08"/>
    <w:p>
      <w:pPr>
        <w:pStyle w:val="Heading2"/>
      </w:pPr>
      <w:r>
        <w:t xml:space="preserve">Strategic Marketing Tactics: The Mathematician-Centric Approach</w:t>
      </w:r>
    </w:p>
    <w:p>
      <w:pPr>
        <w:pStyle w:val="FirstParagraph"/>
      </w:pPr>
      <w:r>
        <w:t xml:space="preserve">Unlike generic marketing, our strategy centers on the mathematician's needs through three pillars:</w:t>
      </w:r>
    </w:p>
    <w:bookmarkStart w:id="24" w:name="X9c1e044f496150faf659b8414610c7a75d7992e"/>
    <w:p>
      <w:pPr>
        <w:pStyle w:val="Heading3"/>
      </w:pPr>
      <w:r>
        <w:t xml:space="preserve">1. Academic Integration (Russia Saint Petersburg Focus)</w:t>
      </w:r>
    </w:p>
    <w:p>
      <w:pPr>
        <w:pStyle w:val="FirstParagraph"/>
      </w:pPr>
      <w:r>
        <w:t xml:space="preserve">We deploy "Mathematician Ambassador" programs within key institutions. For example:</w:t>
      </w:r>
      <w:r>
        <w:t xml:space="preserve"> </w:t>
      </w:r>
      <w:r>
        <w:t xml:space="preserve">• Partnering with St. Petersburg State University's Department of Mathematics to host monthly "Industry-Research Dialogues" where mathematicians pitch solutions to local challenges (e.g., optimizing port logistics for Saint Petersburg's Baltic Sea trade).</w:t>
      </w:r>
      <w:r>
        <w:t xml:space="preserve"> </w:t>
      </w:r>
      <w:r>
        <w:t xml:space="preserve">• Creating tailored content in Russian showcasing successful Saint Petersburg-based projects – like the Institute of Applied Mathematics' collaboration with Gazprom Neft on predictive modeling. This leverages Russia's strong academic tradition while demonstrating immediate local impact.</w:t>
      </w:r>
    </w:p>
    <w:bookmarkEnd w:id="24"/>
    <w:bookmarkStart w:id="25" w:name="digital-ecosystem-development"/>
    <w:p>
      <w:pPr>
        <w:pStyle w:val="Heading3"/>
      </w:pPr>
      <w:r>
        <w:t xml:space="preserve">2. Digital Ecosystem Development</w:t>
      </w:r>
    </w:p>
    <w:p>
      <w:pPr>
        <w:pStyle w:val="FirstParagraph"/>
      </w:pPr>
      <w:r>
        <w:t xml:space="preserve">The MathPro platform features:</w:t>
      </w:r>
      <w:r>
        <w:t xml:space="preserve"> </w:t>
      </w:r>
      <w:r>
        <w:t xml:space="preserve">• A Russian-language AI matching engine connecting mathematicians with industry needs in Saint Petersburg (e.g., "Find AI projects for topology researchers at ITMO University")</w:t>
      </w:r>
      <w:r>
        <w:t xml:space="preserve"> </w:t>
      </w:r>
      <w:r>
        <w:t xml:space="preserve">• Virtual "Mathematician Cafés" replicating Saint Petersburg's historic café culture for informal networking – addressing the cultural preference for relationship-based business in Russia.</w:t>
      </w:r>
      <w:r>
        <w:t xml:space="preserve"> </w:t>
      </w:r>
      <w:r>
        <w:t xml:space="preserve">• Localized case studies highlighting how Russian mathematicians solve regional challenges (e.g., cryogenic systems modeling at St. Petersburg Nuclear Physics Institute).</w:t>
      </w:r>
    </w:p>
    <w:bookmarkEnd w:id="25"/>
    <w:bookmarkStart w:id="26" w:name="strategic-partnerships-advocacy"/>
    <w:p>
      <w:pPr>
        <w:pStyle w:val="Heading3"/>
      </w:pPr>
      <w:r>
        <w:t xml:space="preserve">3. Strategic Partnerships &amp; Advocacy</w:t>
      </w:r>
    </w:p>
    <w:p>
      <w:pPr>
        <w:pStyle w:val="FirstParagraph"/>
      </w:pPr>
      <w:r>
        <w:t xml:space="preserve">Leveraging Saint Petersburg's status as a UNESCO City of Design, we co-host "Math in Culture" events with the Hermitage Museum and Saint Petersburg State Academic Capella. These position mathematicians not as isolated scholars but as cultural contributors – a narrative resonant with Russia's intellectual heritage. Simultaneously, we engage Russian Academy of Sciences leadership to advocate for tax incentives on industry-academia collaborations, directly addressing systemic barriers.</w:t>
      </w:r>
    </w:p>
    <w:bookmarkEnd w:id="26"/>
    <w:bookmarkEnd w:id="27"/>
    <w:bookmarkStart w:id="28" w:name="budget-allocation-cultural-alignment"/>
    <w:p>
      <w:pPr>
        <w:pStyle w:val="Heading2"/>
      </w:pPr>
      <w:r>
        <w:t xml:space="preserve">Budget Allocation &amp; Cultural Alignment</w:t>
      </w:r>
    </w:p>
    <w:p>
      <w:pPr>
        <w:pStyle w:val="FirstParagraph"/>
      </w:pPr>
      <w:r>
        <w:t xml:space="preserve">Total Budget: $485,000 (18 months)</w:t>
      </w:r>
      <w:r>
        <w:t xml:space="preserve"> </w:t>
      </w:r>
      <w:r>
        <w:t xml:space="preserve">• 45%: Localized content creation (Russian-language webinars, printed materials for Saint Petersburg universities)</w:t>
      </w:r>
      <w:r>
        <w:t xml:space="preserve"> </w:t>
      </w:r>
      <w:r>
        <w:t xml:space="preserve">• 30%: Event marketing in Saint Petersburg (Hermitage events, university campus activations)</w:t>
      </w:r>
      <w:r>
        <w:t xml:space="preserve"> </w:t>
      </w:r>
      <w:r>
        <w:t xml:space="preserve">• 15%: Digital platform development with Russian UI/UX standards</w:t>
      </w:r>
      <w:r>
        <w:t xml:space="preserve"> </w:t>
      </w:r>
      <w:r>
        <w:t xml:space="preserve">• 10%: Partnership outreach with Russian industrial leaders</w:t>
      </w:r>
    </w:p>
    <w:p>
      <w:pPr>
        <w:pStyle w:val="BodyText"/>
      </w:pPr>
      <w:r>
        <w:t xml:space="preserve">Cultural alignment is paramount. We avoid Western-style "branding" in favor of:</w:t>
      </w:r>
      <w:r>
        <w:t xml:space="preserve"> </w:t>
      </w:r>
      <w:r>
        <w:t xml:space="preserve">• Emphasizing collective achievement (e.g., "Saint Petersburg's Mathematical Legacy" campaigns)</w:t>
      </w:r>
      <w:r>
        <w:t xml:space="preserve"> </w:t>
      </w:r>
      <w:r>
        <w:t xml:space="preserve">• Using formal but respectful communication styles preferred in Russian academic circles</w:t>
      </w:r>
      <w:r>
        <w:t xml:space="preserve"> </w:t>
      </w:r>
      <w:r>
        <w:t xml:space="preserve">• Aligning with Russia's national strategy to become a STEM leader by 2030</w:t>
      </w:r>
    </w:p>
    <w:bookmarkEnd w:id="28"/>
    <w:bookmarkStart w:id="29" w:name="evaluation-metrics"/>
    <w:p>
      <w:pPr>
        <w:pStyle w:val="Heading2"/>
      </w:pPr>
      <w:r>
        <w:t xml:space="preserve">Evaluation Metrics</w:t>
      </w:r>
    </w:p>
    <w:p>
      <w:pPr>
        <w:pStyle w:val="FirstParagraph"/>
      </w:pPr>
      <w:r>
        <w:t xml:space="preserve">We track success through mathematician-centric KPIs:</w:t>
      </w:r>
    </w:p>
    <w:p>
      <w:pPr>
        <w:numPr>
          <w:ilvl w:val="0"/>
          <w:numId w:val="1004"/>
        </w:numPr>
        <w:pStyle w:val="Compact"/>
      </w:pPr>
      <w:r>
        <w:t xml:space="preserve">Quantitative: # of industry contracts signed (Target: 15+ in Year 1)</w:t>
      </w:r>
    </w:p>
    <w:p>
      <w:pPr>
        <w:numPr>
          <w:ilvl w:val="0"/>
          <w:numId w:val="1004"/>
        </w:numPr>
        <w:pStyle w:val="Compact"/>
      </w:pPr>
      <w:r>
        <w:t xml:space="preserve">Qualitative: "Mathematician Satisfaction Index" via anonymous feedback on platform usability</w:t>
      </w:r>
    </w:p>
    <w:p>
      <w:pPr>
        <w:numPr>
          <w:ilvl w:val="0"/>
          <w:numId w:val="1004"/>
        </w:numPr>
        <w:pStyle w:val="Compact"/>
      </w:pPr>
      <w:r>
        <w:t xml:space="preserve">Strategic: Reduction in annual exodus of Saint Petersburg-based mathematicians (measured via Russian Ministry of Education data)</w:t>
      </w:r>
    </w:p>
    <w:bookmarkEnd w:id="29"/>
    <w:bookmarkStart w:id="30" w:name="Xf76cd978511b2a5e376c0ab5a428989d54ec541"/>
    <w:p>
      <w:pPr>
        <w:pStyle w:val="Heading2"/>
      </w:pPr>
      <w:r>
        <w:t xml:space="preserve">Conclusion: The Mathematician as Russia's Strategic Asset</w:t>
      </w:r>
    </w:p>
    <w:p>
      <w:pPr>
        <w:pStyle w:val="FirstParagraph"/>
      </w:pPr>
      <w:r>
        <w:t xml:space="preserve">This Marketing Plan transforms how Russia Saint Petersburg engages its mathematical community. By centering the mathematician's voice, respecting regional academic traditions, and addressing systemic gaps with culturally intelligent solutions, MathPro Saint Petersburg creates a self-sustaining ecosystem where mathematics drives economic growth. We move beyond transient marketing tactics to establish a lasting legacy where every mathematician in Russia understands: Saint Petersburg doesn't just host brilliant minds – it empowers them to shape Russia's future. This is not merely a Marketing Plan; it's the foundation for positioning Saint Petersburg as the indispensable heart of mathematical innovation in modern Russia.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Russia Saint Petersburg</dc:title>
  <dc:creator/>
  <dc:language>en</dc:language>
  <cp:keywords/>
  <dcterms:created xsi:type="dcterms:W3CDTF">2025-12-13T06:37:58Z</dcterms:created>
  <dcterms:modified xsi:type="dcterms:W3CDTF">2025-12-13T06:37:58Z</dcterms:modified>
</cp:coreProperties>
</file>

<file path=docProps/custom.xml><?xml version="1.0" encoding="utf-8"?>
<Properties xmlns="http://schemas.openxmlformats.org/officeDocument/2006/custom-properties" xmlns:vt="http://schemas.openxmlformats.org/officeDocument/2006/docPropsVTypes"/>
</file>