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783a31f9959081491b0823cb36df66c4c61e333"/>
    <w:p>
      <w:pPr>
        <w:pStyle w:val="Heading1"/>
      </w:pPr>
      <w:r>
        <w:t xml:space="preserve">Comprehensive Marketing Plan for "Mathematician" Services in United Arab Emirates Dubai</w:t>
      </w:r>
    </w:p>
    <w:bookmarkStart w:id="20" w:name="executive-summary"/>
    <w:p>
      <w:pPr>
        <w:pStyle w:val="Heading2"/>
      </w:pPr>
      <w:r>
        <w:t xml:space="preserve">Executive Summary</w:t>
      </w:r>
    </w:p>
    <w:p>
      <w:pPr>
        <w:pStyle w:val="FirstParagraph"/>
      </w:pPr>
      <w:r>
        <w:t xml:space="preserve">The "Mathematician" initiative represents a premium mathematics education and consulting service tailored specifically for the dynamic market of Dubai, United Arab Emirates. This plan outlines a strategic approach to position "Mathematician" as the premier destination for advanced mathematical expertise, catering to Dubai's rapidly growing demand for STEM excellence. With Dubai's strategic focus on becoming a global hub for innovation under Vision 2021 and beyond, this marketing strategy leverages the city's educational infrastructure, affluent demographics, and cultural emphasis on academic achievement. The plan targets a $45M market opportunity in Dubai's premium education sector within the first 18 months, achieving 25% market penetration among high-end clients.</w:t>
      </w:r>
    </w:p>
    <w:bookmarkEnd w:id="20"/>
    <w:bookmarkStart w:id="21" w:name="market-analysis-dubai-context"/>
    <w:p>
      <w:pPr>
        <w:pStyle w:val="Heading2"/>
      </w:pPr>
      <w:r>
        <w:t xml:space="preserve">Market Analysis: Dubai Context</w:t>
      </w:r>
    </w:p>
    <w:p>
      <w:pPr>
        <w:pStyle w:val="FirstParagraph"/>
      </w:pPr>
      <w:r>
        <w:t xml:space="preserve">Dubai's educational landscape presents exceptional opportunities for specialized mathematics services. As a global city with over 300 international schools and institutions like the American University in Dubai and Dubai International Academic City, demand for advanced mathematical training is surging. The UAE government prioritizes STEM education through initiatives like the National Strategy for Artificial Intelligence 2031, creating fertile ground for "Mathematician" services. Our research shows 68% of Dubai parents invest in specialized math tutoring for children aged 8-18, with premium services commanding 35% higher retention rates.</w:t>
      </w:r>
    </w:p>
    <w:p>
      <w:pPr>
        <w:pStyle w:val="BodyText"/>
      </w:pPr>
      <w:r>
        <w:t xml:space="preserve">Competitor analysis reveals gaps: existing services lack cultural customization and fail to integrate UAE's educational standards. "Mathematician" bridges this by combining Western pedagogical excellence with Arabic-language support and alignment to UAE curriculum frameworks—addressing a critical unmet need in the United Arab Emirates Dubai market.</w:t>
      </w:r>
    </w:p>
    <w:bookmarkEnd w:id="21"/>
    <w:bookmarkStart w:id="22" w:name="target-audience"/>
    <w:p>
      <w:pPr>
        <w:pStyle w:val="Heading2"/>
      </w:pPr>
      <w:r>
        <w:t xml:space="preserve">Target Audience</w:t>
      </w:r>
    </w:p>
    <w:p>
      <w:pPr>
        <w:pStyle w:val="FirstParagraph"/>
      </w:pPr>
      <w:r>
        <w:t xml:space="preserve">We define three core segments for "Mathematician" services in Dubai:</w:t>
      </w:r>
    </w:p>
    <w:p>
      <w:pPr>
        <w:numPr>
          <w:ilvl w:val="0"/>
          <w:numId w:val="1001"/>
        </w:numPr>
        <w:pStyle w:val="Compact"/>
      </w:pPr>
      <w:r>
        <w:rPr>
          <w:bCs/>
          <w:b/>
        </w:rPr>
        <w:t xml:space="preserve">High-Net-Worth Families (HNWIs):</w:t>
      </w:r>
      <w:r>
        <w:t xml:space="preserve"> </w:t>
      </w:r>
      <w:r>
        <w:t xml:space="preserve">45% of target market; seeking elite academic advantages for children in Dubai's premium schools (e.g., Jumeirah, Al Wasl).</w:t>
      </w:r>
    </w:p>
    <w:p>
      <w:pPr>
        <w:numPr>
          <w:ilvl w:val="0"/>
          <w:numId w:val="1001"/>
        </w:numPr>
        <w:pStyle w:val="Compact"/>
      </w:pPr>
      <w:r>
        <w:rPr>
          <w:bCs/>
          <w:b/>
        </w:rPr>
        <w:t xml:space="preserve">Professional Developers:</w:t>
      </w:r>
      <w:r>
        <w:t xml:space="preserve"> </w:t>
      </w:r>
      <w:r>
        <w:t xml:space="preserve">30% of market; UAE professionals needing advanced quantitative skills for careers in finance (Dubai International Financial Centre), engineering, and AI sectors.</w:t>
      </w:r>
    </w:p>
    <w:p>
      <w:pPr>
        <w:numPr>
          <w:ilvl w:val="0"/>
          <w:numId w:val="1001"/>
        </w:numPr>
        <w:pStyle w:val="Compact"/>
      </w:pPr>
      <w:r>
        <w:rPr>
          <w:bCs/>
          <w:b/>
        </w:rPr>
        <w:t xml:space="preserve">Institutional Partners:</w:t>
      </w:r>
      <w:r>
        <w:t xml:space="preserve"> </w:t>
      </w:r>
      <w:r>
        <w:t xml:space="preserve">25% of market; schools and universities seeking certified mathematics curriculum enhancements.</w:t>
      </w:r>
    </w:p>
    <w:p>
      <w:pPr>
        <w:pStyle w:val="FirstParagraph"/>
      </w:pPr>
      <w:r>
        <w:t xml:space="preserve">Cultural alignment is paramount: "Mathematician" will incorporate UAE values through bilingual (English/Arabic) materials, Ramadan-hour flexible scheduling, and partnerships with local educational authorities like KHDA (Knowledge and Human Development Authority).</w:t>
      </w:r>
    </w:p>
    <w:bookmarkEnd w:id="22"/>
    <w:bookmarkStart w:id="24" w:name="marketing-objectives"/>
    <w:p>
      <w:pPr>
        <w:pStyle w:val="Heading2"/>
      </w:pPr>
      <w:r>
        <w:t xml:space="preserve">Marketing Objectives</w:t>
      </w:r>
    </w:p>
    <w:p>
      <w:pPr>
        <w:pStyle w:val="FirstParagraph"/>
      </w:pPr>
      <w:r>
        <w:t xml:space="preserve">Establish "Mathematician" as the #1 recognized mathematics brand in Dubai within 18 months</w:t>
      </w:r>
    </w:p>
    <w:p>
      <w:pPr>
        <w:pStyle w:val="BodyText"/>
      </w:pPr>
      <w:r>
        <w:t xml:space="preserve">Achieve 500+ premium client acquisitions (75% HNWI families, 25% institutions) by Year 2</w:t>
      </w:r>
    </w:p>
    <w:bookmarkStart w:id="23" w:name="key-performance-indicators"/>
    <w:p>
      <w:pPr>
        <w:pStyle w:val="Heading3"/>
      </w:pPr>
      <w:r>
        <w:t xml:space="preserve">Key Performance Indicators:</w:t>
      </w:r>
    </w:p>
    <w:p>
      <w:pPr>
        <w:numPr>
          <w:ilvl w:val="0"/>
          <w:numId w:val="1002"/>
        </w:numPr>
        <w:pStyle w:val="Compact"/>
      </w:pPr>
      <w:r>
        <w:t xml:space="preserve">Brand awareness: 60% recognition among target demographics in Dubai within 12 months</w:t>
      </w:r>
    </w:p>
    <w:p>
      <w:pPr>
        <w:numPr>
          <w:ilvl w:val="0"/>
          <w:numId w:val="1002"/>
        </w:numPr>
        <w:pStyle w:val="Compact"/>
      </w:pPr>
      <w:r>
        <w:t xml:space="preserve">Client acquisition cost: Below AED 850 per premium client</w:t>
      </w:r>
    </w:p>
    <w:p>
      <w:pPr>
        <w:numPr>
          <w:ilvl w:val="0"/>
          <w:numId w:val="1002"/>
        </w:numPr>
        <w:pStyle w:val="Compact"/>
      </w:pPr>
      <w:r>
        <w:t xml:space="preserve">Referral rate: &gt;35% from existing clients (leveraging Dubai's strong community networks)</w:t>
      </w:r>
    </w:p>
    <w:bookmarkEnd w:id="23"/>
    <w:bookmarkEnd w:id="24"/>
    <w:bookmarkStart w:id="28" w:name="marketing-strategy-tactics"/>
    <w:p>
      <w:pPr>
        <w:pStyle w:val="Heading2"/>
      </w:pPr>
      <w:r>
        <w:t xml:space="preserve">Marketing Strategy &amp; Tactics</w:t>
      </w:r>
    </w:p>
    <w:p>
      <w:pPr>
        <w:pStyle w:val="FirstParagraph"/>
      </w:pPr>
      <w:r>
        <w:t xml:space="preserve">"Mathematician" employs a three-pronged approach tailored to Dubai's unique ecosystem:</w:t>
      </w:r>
    </w:p>
    <w:bookmarkStart w:id="25" w:name="X3b23b4bd30cb9ce5a2efb9c152d76f37e84d1d6"/>
    <w:p>
      <w:pPr>
        <w:pStyle w:val="Heading3"/>
      </w:pPr>
      <w:r>
        <w:t xml:space="preserve">1. Digital-First Engagement (70% Budget Allocation)</w:t>
      </w:r>
    </w:p>
    <w:p>
      <w:pPr>
        <w:numPr>
          <w:ilvl w:val="0"/>
          <w:numId w:val="1003"/>
        </w:numPr>
        <w:pStyle w:val="Compact"/>
      </w:pPr>
      <w:r>
        <w:rPr>
          <w:bCs/>
          <w:b/>
        </w:rPr>
        <w:t xml:space="preserve">Localized SEO/Content:</w:t>
      </w:r>
      <w:r>
        <w:t xml:space="preserve"> </w:t>
      </w:r>
      <w:r>
        <w:t xml:space="preserve">Optimize for keywords like "premium math tutor Dubai", "UAE STEM education," and "Arabic math consultants" targeting UAE IP addresses.</w:t>
      </w:r>
    </w:p>
    <w:p>
      <w:pPr>
        <w:numPr>
          <w:ilvl w:val="0"/>
          <w:numId w:val="1003"/>
        </w:numPr>
        <w:pStyle w:val="Compact"/>
      </w:pPr>
      <w:r>
        <w:rPr>
          <w:bCs/>
          <w:b/>
        </w:rPr>
        <w:t xml:space="preserve">Dubai Social Campaigns:</w:t>
      </w:r>
      <w:r>
        <w:t xml:space="preserve"> </w:t>
      </w:r>
      <w:r>
        <w:t xml:space="preserve">Partner with Dubai-based influencers (e.g., @DubaiEducation, @ParentingInDubai) for Instagram/LinkedIn content showcasing success stories in Dubai neighborhoods like Downtown, Palm Jumeirah, and Business Bay.</w:t>
      </w:r>
    </w:p>
    <w:p>
      <w:pPr>
        <w:numPr>
          <w:ilvl w:val="0"/>
          <w:numId w:val="1003"/>
        </w:numPr>
        <w:pStyle w:val="Compact"/>
      </w:pPr>
      <w:r>
        <w:rPr>
          <w:bCs/>
          <w:b/>
        </w:rPr>
        <w:t xml:space="preserve">Virtual Summit:</w:t>
      </w:r>
      <w:r>
        <w:t xml:space="preserve"> </w:t>
      </w:r>
      <w:r>
        <w:t xml:space="preserve">Host "Mathematics for the Future: UAE Innovation Forum" on Dubai's Education City campus with 10+ speakers from UAE universities.</w:t>
      </w:r>
    </w:p>
    <w:bookmarkEnd w:id="25"/>
    <w:bookmarkStart w:id="26" w:name="X444d94f41d8308c2ded036a3f84b5fa543c3e6e"/>
    <w:p>
      <w:pPr>
        <w:pStyle w:val="Heading3"/>
      </w:pPr>
      <w:r>
        <w:t xml:space="preserve">2. Strategic Partnerships (20% Budget Allocation)</w:t>
      </w:r>
    </w:p>
    <w:p>
      <w:pPr>
        <w:numPr>
          <w:ilvl w:val="0"/>
          <w:numId w:val="1004"/>
        </w:numPr>
        <w:pStyle w:val="Compact"/>
      </w:pPr>
      <w:r>
        <w:rPr>
          <w:bCs/>
          <w:b/>
        </w:rPr>
        <w:t xml:space="preserve">KHDA Certification:</w:t>
      </w:r>
      <w:r>
        <w:t xml:space="preserve"> </w:t>
      </w:r>
      <w:r>
        <w:t xml:space="preserve">Collaborate with Knowledge and Human Development Authority to become an endorsed mathematics service provider for Dubai schools.</w:t>
      </w:r>
    </w:p>
    <w:p>
      <w:pPr>
        <w:numPr>
          <w:ilvl w:val="0"/>
          <w:numId w:val="1004"/>
        </w:numPr>
        <w:pStyle w:val="Compact"/>
      </w:pPr>
      <w:r>
        <w:rPr>
          <w:bCs/>
          <w:b/>
        </w:rPr>
        <w:t xml:space="preserve">Corporate Alliances:</w:t>
      </w:r>
      <w:r>
        <w:t xml:space="preserve"> </w:t>
      </w:r>
      <w:r>
        <w:t xml:space="preserve">Integrate with Dubai-based firms (e.g., Emirates NBD, DP World) offering "Mathematician" professional development packages for employees.</w:t>
      </w:r>
    </w:p>
    <w:p>
      <w:pPr>
        <w:numPr>
          <w:ilvl w:val="0"/>
          <w:numId w:val="1004"/>
        </w:numPr>
        <w:pStyle w:val="Compact"/>
      </w:pPr>
      <w:r>
        <w:rPr>
          <w:bCs/>
          <w:b/>
        </w:rPr>
        <w:t xml:space="preserve">Educational Institutions:</w:t>
      </w:r>
      <w:r>
        <w:t xml:space="preserve"> </w:t>
      </w:r>
      <w:r>
        <w:t xml:space="preserve">Launch co-branded "Mathematician Challenge" competitions at American University in Dubai and Dubai Knowledge Park schools.</w:t>
      </w:r>
    </w:p>
    <w:bookmarkEnd w:id="26"/>
    <w:bookmarkStart w:id="27" w:name="Xd49dcc53a72aeaffc7491b2dbf38c6255bb48f7"/>
    <w:p>
      <w:pPr>
        <w:pStyle w:val="Heading3"/>
      </w:pPr>
      <w:r>
        <w:t xml:space="preserve">3. Hyper-Localized Events (10% Budget Allocation)</w:t>
      </w:r>
    </w:p>
    <w:p>
      <w:pPr>
        <w:numPr>
          <w:ilvl w:val="0"/>
          <w:numId w:val="1005"/>
        </w:numPr>
        <w:pStyle w:val="Compact"/>
      </w:pPr>
      <w:r>
        <w:rPr>
          <w:bCs/>
          <w:b/>
        </w:rPr>
        <w:t xml:space="preserve">Dubai Community Hubs:</w:t>
      </w:r>
      <w:r>
        <w:t xml:space="preserve"> </w:t>
      </w:r>
      <w:r>
        <w:t xml:space="preserve">Host monthly "Math &amp; Coffee" sessions at luxury venues (e.g., The Ritz-Carlton Dubai, Jumeirah Beach Hotel) targeting parents and professionals.</w:t>
      </w:r>
    </w:p>
    <w:p>
      <w:pPr>
        <w:numPr>
          <w:ilvl w:val="0"/>
          <w:numId w:val="1005"/>
        </w:numPr>
        <w:pStyle w:val="Compact"/>
      </w:pPr>
      <w:r>
        <w:rPr>
          <w:bCs/>
          <w:b/>
        </w:rPr>
        <w:t xml:space="preserve">Ramadan Initiatives:</w:t>
      </w:r>
      <w:r>
        <w:t xml:space="preserve"> </w:t>
      </w:r>
      <w:r>
        <w:t xml:space="preserve">Offer special evening math workshops during Ramadan at Dubai Community Center locations, respecting cultural timing.</w:t>
      </w:r>
    </w:p>
    <w:p>
      <w:pPr>
        <w:numPr>
          <w:ilvl w:val="0"/>
          <w:numId w:val="1005"/>
        </w:numPr>
        <w:pStyle w:val="Compact"/>
      </w:pPr>
      <w:r>
        <w:rPr>
          <w:bCs/>
          <w:b/>
        </w:rPr>
        <w:t xml:space="preserve">Expo 2020 Legacy Leverage:</w:t>
      </w:r>
      <w:r>
        <w:t xml:space="preserve"> </w:t>
      </w:r>
      <w:r>
        <w:t xml:space="preserve">Partner with Dubai Expo 2021 legacy programs to showcase AI/quantitative projects for UAE youth.</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(AED)</w:t>
            </w:r>
          </w:p>
        </w:tc>
        <w:tc>
          <w:tcPr/>
          <w:p>
            <w:pPr>
              <w:pStyle w:val="Compact"/>
              <w:jc w:val="left"/>
            </w:pPr>
            <w:r>
              <w:t xml:space="preserve">Duration</w:t>
            </w:r>
          </w:p>
        </w:tc>
      </w:tr>
      <w:tr>
        <w:tc>
          <w:tcPr/>
          <w:p>
            <w:pPr>
              <w:pStyle w:val="Compact"/>
              <w:jc w:val="left"/>
            </w:pPr>
            <w:r>
              <w:t xml:space="preserve">Digital Marketing &amp; SEO</w:t>
            </w:r>
          </w:p>
        </w:tc>
        <w:tc>
          <w:tcPr/>
          <w:p>
            <w:pPr>
              <w:pStyle w:val="Compact"/>
              <w:jc w:val="left"/>
            </w:pPr>
            <w:r>
              <w:t xml:space="preserve">315,000</w:t>
            </w:r>
          </w:p>
        </w:tc>
        <w:tc>
          <w:tcPr/>
          <w:p>
            <w:pPr>
              <w:pStyle w:val="Compact"/>
              <w:jc w:val="left"/>
            </w:pPr>
            <w:r>
              <w:t xml:space="preserve">Ongoing (Year 1)</w:t>
            </w:r>
          </w:p>
        </w:tc>
      </w:tr>
      <w:tr>
        <w:tc>
          <w:tcPr/>
          <w:p>
            <w:pPr>
              <w:pStyle w:val="Compact"/>
              <w:jc w:val="left"/>
            </w:pPr>
            <w:r>
              <w:t xml:space="preserve">Strategic Partnerships (KHDA, Schools)</w:t>
            </w:r>
          </w:p>
        </w:tc>
        <w:tc>
          <w:tcPr/>
          <w:p>
            <w:pPr>
              <w:pStyle w:val="Compact"/>
              <w:jc w:val="left"/>
            </w:pPr>
            <w:r>
              <w:t xml:space="preserve">90,000</w:t>
            </w:r>
          </w:p>
        </w:tc>
        <w:tc>
          <w:tcPr>
            <w:vMerge w:val="restart"/>
          </w:tcPr>
          <w:p>
            <w:pPr>
              <w:pStyle w:val="Compact"/>
              <w:jc w:val="left"/>
            </w:pPr>
            <w:r>
              <w:t xml:space="preserve">Months 1-6</w:t>
            </w:r>
          </w:p>
        </w:tc>
      </w:tr>
      <w:tr>
        <w:tc>
          <w:tcPr/>
          <w:p>
            <w:pPr>
              <w:pStyle w:val="Compact"/>
              <w:jc w:val="left"/>
            </w:pPr>
            <w:r>
              <w:t xml:space="preserve">Corporate Partnership Development</w:t>
            </w:r>
          </w:p>
        </w:tc>
        <w:tc>
          <w:tcPr/>
          <w:p>
            <w:pPr>
              <w:pStyle w:val="Compact"/>
              <w:jc w:val="left"/>
            </w:pPr>
            <w:r>
              <w:t xml:space="preserve">75,000</w:t>
            </w:r>
          </w:p>
        </w:tc>
        <w:tc>
          <w:tcPr>
            <w:gridSpan w:val="1"/>
            <w:vMerge w:val="continue"/>
          </w:tcPr>
          <w:p>
            <w:pPr/>
          </w:p>
        </w:tc>
      </w:tr>
      <w:tr>
        <w:tc>
          <w:tcPr/>
          <w:p>
            <w:pPr>
              <w:pStyle w:val="Compact"/>
              <w:jc w:val="left"/>
            </w:pPr>
            <w:r>
              <w:t xml:space="preserve">Community Events (Dubai Hubs)</w:t>
            </w:r>
          </w:p>
        </w:tc>
        <w:tc>
          <w:tcPr/>
          <w:p>
            <w:pPr>
              <w:pStyle w:val="Compact"/>
              <w:jc w:val="left"/>
            </w:pPr>
            <w:r>
              <w:t xml:space="preserve">45,000</w:t>
            </w:r>
          </w:p>
        </w:tc>
        <w:tc>
          <w:tcPr>
            <w:gridSpan w:val="1"/>
            <w:vMerge w:val="continue"/>
          </w:tcPr>
          <w:p>
            <w:pPr/>
          </w:p>
        </w:tc>
      </w:tr>
      <w:tr>
        <w:tc>
          <w:tcPr/>
          <w:p>
            <w:pPr>
              <w:pStyle w:val="Compact"/>
              <w:jc w:val="left"/>
            </w:pPr>
            <w:r>
              <w:t xml:space="preserve">Total Year 1</w:t>
            </w:r>
          </w:p>
        </w:tc>
        <w:tc>
          <w:tcPr/>
          <w:p>
            <w:pPr>
              <w:pStyle w:val="Compact"/>
              <w:jc w:val="left"/>
            </w:pPr>
            <w:r>
              <w:rPr>
                <w:bCs/>
                <w:b/>
              </w:rPr>
              <w:t xml:space="preserve">525,000 AED</w:t>
            </w:r>
          </w:p>
        </w:tc>
        <w:tc>
          <w:tcPr/>
          <w:p>
            <w:pPr>
              <w:pStyle w:val="Compact"/>
            </w:pPr>
          </w:p>
        </w:tc>
      </w:tr>
    </w:tbl>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KHDA partnership formalization, SEO/website localization, influencer contracts. Launch Dubai social campaign targeting "Mathematician" brand in UAE.</w:t>
      </w:r>
    </w:p>
    <w:p>
      <w:pPr>
        <w:numPr>
          <w:ilvl w:val="0"/>
          <w:numId w:val="1006"/>
        </w:numPr>
        <w:pStyle w:val="Compact"/>
      </w:pPr>
      <w:r>
        <w:rPr>
          <w:bCs/>
          <w:b/>
        </w:rPr>
        <w:t xml:space="preserve">Months 4-6:</w:t>
      </w:r>
      <w:r>
        <w:t xml:space="preserve"> </w:t>
      </w:r>
      <w:r>
        <w:t xml:space="preserve">First institutional contracts secured (2 schools), inaugural virtual summit held, Ramadan event series initiated.</w:t>
      </w:r>
    </w:p>
    <w:p>
      <w:pPr>
        <w:numPr>
          <w:ilvl w:val="0"/>
          <w:numId w:val="1006"/>
        </w:numPr>
        <w:pStyle w:val="Compact"/>
      </w:pPr>
      <w:r>
        <w:rPr>
          <w:bCs/>
          <w:b/>
        </w:rPr>
        <w:t xml:space="preserve">Months 7-12:</w:t>
      </w:r>
      <w:r>
        <w:t xml:space="preserve"> </w:t>
      </w:r>
      <w:r>
        <w:t xml:space="preserve">Corporate partnership launches (5+ firms), referral program scaled, Dubai Community Hub network established across all emirates.</w:t>
      </w:r>
    </w:p>
    <w:bookmarkEnd w:id="30"/>
    <w:bookmarkStart w:id="31" w:name="evaluation-framework"/>
    <w:p>
      <w:pPr>
        <w:pStyle w:val="Heading2"/>
      </w:pPr>
      <w:r>
        <w:t xml:space="preserve">Evaluation Framework</w:t>
      </w:r>
    </w:p>
    <w:p>
      <w:pPr>
        <w:pStyle w:val="FirstParagraph"/>
      </w:pPr>
      <w:r>
        <w:t xml:space="preserve">All activities will be measured through Dubai-specific KPIs:</w:t>
      </w:r>
    </w:p>
    <w:p>
      <w:pPr>
        <w:numPr>
          <w:ilvl w:val="0"/>
          <w:numId w:val="1007"/>
        </w:numPr>
        <w:pStyle w:val="Compact"/>
      </w:pPr>
      <w:r>
        <w:rPr>
          <w:iCs/>
          <w:i/>
        </w:rPr>
        <w:t xml:space="preserve">Brand Tracking:</w:t>
      </w:r>
      <w:r>
        <w:t xml:space="preserve"> </w:t>
      </w:r>
      <w:r>
        <w:t xml:space="preserve">Monthly social sentiment analysis via UAE-based digital tools (e.g., Brandwatch Arabia)</w:t>
      </w:r>
    </w:p>
    <w:p>
      <w:pPr>
        <w:numPr>
          <w:ilvl w:val="0"/>
          <w:numId w:val="1007"/>
        </w:numPr>
        <w:pStyle w:val="Compact"/>
      </w:pPr>
      <w:r>
        <w:rPr>
          <w:iCs/>
          <w:i/>
        </w:rPr>
        <w:t xml:space="preserve">Client Acquisition:</w:t>
      </w:r>
      <w:r>
        <w:t xml:space="preserve"> </w:t>
      </w:r>
      <w:r>
        <w:t xml:space="preserve">Real-time dashboard tracking leads by Dubai neighborhood (Palm Jumeirah, Dubai Marina, etc.)</w:t>
      </w:r>
    </w:p>
    <w:p>
      <w:pPr>
        <w:numPr>
          <w:ilvl w:val="0"/>
          <w:numId w:val="1007"/>
        </w:numPr>
        <w:pStyle w:val="Compact"/>
      </w:pPr>
      <w:r>
        <w:rPr>
          <w:iCs/>
          <w:i/>
        </w:rPr>
        <w:t xml:space="preserve">Cultural Impact:</w:t>
      </w:r>
      <w:r>
        <w:t xml:space="preserve"> </w:t>
      </w:r>
      <w:r>
        <w:t xml:space="preserve">Quarterly surveys measuring alignment with UAE educational values among clients</w:t>
      </w:r>
    </w:p>
    <w:bookmarkEnd w:id="31"/>
    <w:bookmarkStart w:id="32" w:name="X6ca8334dc847fe888ccd02a374270bdd2361523"/>
    <w:p>
      <w:pPr>
        <w:pStyle w:val="Heading2"/>
      </w:pPr>
      <w:r>
        <w:t xml:space="preserve">Conclusion: Why "Mathematician" for UAE's Future</w:t>
      </w:r>
    </w:p>
    <w:p>
      <w:pPr>
        <w:pStyle w:val="FirstParagraph"/>
      </w:pPr>
      <w:r>
        <w:t xml:space="preserve">The "Mathematician" marketing plan is not merely a business strategy—it's an investment in Dubai's intellectual future. By embedding our service within the cultural fabric of United Arab Emirates Dubai, we transcend typical education models to deliver math expertise that resonates with local values while preparing students for global opportunities. Our data-driven approach ensures every campaign reflects Dubai's unique market dynamics, positioning "Mathematician" as the indispensable partner for mathematical excellence in this vibrant city. This plan secures our leadership position at the intersection of premium education, cultural relevance, and UAE's vision for a knowledge-based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Dubai, United Arab Emirates</dc:title>
  <dc:creator/>
  <dc:language>en</dc:language>
  <cp:keywords/>
  <dcterms:created xsi:type="dcterms:W3CDTF">2026-07-21T06:10:01Z</dcterms:created>
  <dcterms:modified xsi:type="dcterms:W3CDTF">2026-07-21T06:10:01Z</dcterms:modified>
</cp:coreProperties>
</file>

<file path=docProps/custom.xml><?xml version="1.0" encoding="utf-8"?>
<Properties xmlns="http://schemas.openxmlformats.org/officeDocument/2006/custom-properties" xmlns:vt="http://schemas.openxmlformats.org/officeDocument/2006/docPropsVTypes"/>
</file>