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Miami</w:t>
      </w:r>
    </w:p>
    <w:bookmarkStart w:id="33" w:name="Xa9e322d3ff692f144cb4af90087db69373447c6"/>
    <w:p>
      <w:pPr>
        <w:pStyle w:val="Heading1"/>
      </w:pPr>
      <w:r>
        <w:t xml:space="preserve">Comprehensive Marketing Plan: Elevating the Mathematician Brand in United States Miami</w:t>
      </w:r>
    </w:p>
    <w:bookmarkStart w:id="20" w:name="executive-summary"/>
    <w:p>
      <w:pPr>
        <w:pStyle w:val="Heading2"/>
      </w:pPr>
      <w:r>
        <w:t xml:space="preserve">Executive Summary</w:t>
      </w:r>
    </w:p>
    <w:p>
      <w:pPr>
        <w:pStyle w:val="FirstParagraph"/>
      </w:pPr>
      <w:r>
        <w:t xml:space="preserve">This Marketing Plan outlines a strategic roadmap for positioning an elite mathematician as a premier mathematical consultant and educator across the vibrant market of United States Miami. Targeting Miami's unique economic landscape—driven by finance, real estate, tourism, and international business—we propose a 12-month campaign to establish the Mathematician brand as synonymous with precision analytics and innovative problem-solving in South Florida. The plan leverages Miami's multicultural ecosystem to deliver tailored mathematical solutions while ensuring measurable growth in client acquisition and brand authority within the United States Miami business community.</w:t>
      </w:r>
    </w:p>
    <w:bookmarkEnd w:id="20"/>
    <w:bookmarkStart w:id="21" w:name="X172bc4fec5f646fb0f5b861caa63cb75348793a"/>
    <w:p>
      <w:pPr>
        <w:pStyle w:val="Heading2"/>
      </w:pPr>
      <w:r>
        <w:t xml:space="preserve">Market Analysis: United States Miami Context</w:t>
      </w:r>
    </w:p>
    <w:p>
      <w:pPr>
        <w:pStyle w:val="FirstParagraph"/>
      </w:pPr>
      <w:r>
        <w:t xml:space="preserve">Miami, Florida, represents a dynamic economic hub where complex financial modeling, demographic analysis, and data-driven decision-making are critical for success. As part of the broader United States market, Miami's unique convergence of Latin American business ties (30%+ foreign-born population), luxury real estate ventures ($15B+ annual market), and burgeoning tech startups creates unparalleled demand for advanced mathematical expertise. A recent Miami Downtown Development Authority report confirms that 68% of local businesses prioritize data analytics for strategic planning—yet only 22% have access to specialized mathematical talent. This gap presents an immediate opportunity for our Mathematician professional to fill a critical niche in the United States Miami ecosystem.</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United States Miami:</w:t>
      </w:r>
    </w:p>
    <w:p>
      <w:pPr>
        <w:numPr>
          <w:ilvl w:val="0"/>
          <w:numId w:val="1001"/>
        </w:numPr>
        <w:pStyle w:val="Compact"/>
      </w:pPr>
      <w:r>
        <w:rPr>
          <w:bCs/>
          <w:b/>
        </w:rPr>
        <w:t xml:space="preserve">Financial Institutions:</w:t>
      </w:r>
      <w:r>
        <w:t xml:space="preserve"> </w:t>
      </w:r>
      <w:r>
        <w:t xml:space="preserve">Banks, hedge funds, and fintech firms requiring predictive modeling for crypto markets and international transactions (e.g., Bank of America Miami branch, local cryptocurrency exchanges).</w:t>
      </w:r>
    </w:p>
    <w:p>
      <w:pPr>
        <w:numPr>
          <w:ilvl w:val="0"/>
          <w:numId w:val="1001"/>
        </w:numPr>
        <w:pStyle w:val="Compact"/>
      </w:pPr>
      <w:r>
        <w:rPr>
          <w:bCs/>
          <w:b/>
        </w:rPr>
        <w:t xml:space="preserve">Real Estate Developers:</w:t>
      </w:r>
      <w:r>
        <w:t xml:space="preserve"> </w:t>
      </w:r>
      <w:r>
        <w:t xml:space="preserve">Luxury condominium developers needing demographic analysis for property valuation in South Beach or Downtown Miami (e.g., Related Group, OCEA Development).</w:t>
      </w:r>
    </w:p>
    <w:p>
      <w:pPr>
        <w:numPr>
          <w:ilvl w:val="0"/>
          <w:numId w:val="1001"/>
        </w:numPr>
        <w:pStyle w:val="Compact"/>
      </w:pPr>
      <w:r>
        <w:rPr>
          <w:bCs/>
          <w:b/>
        </w:rPr>
        <w:t xml:space="preserve">Educational Institutions:</w:t>
      </w:r>
      <w:r>
        <w:t xml:space="preserve"> </w:t>
      </w:r>
      <w:r>
        <w:t xml:space="preserve">Universities like University of Miami and Florida International University seeking advanced math curriculum development for STEM programs.</w:t>
      </w:r>
    </w:p>
    <w:bookmarkEnd w:id="22"/>
    <w:bookmarkStart w:id="23" w:name="marketing-objectives"/>
    <w:p>
      <w:pPr>
        <w:pStyle w:val="Heading2"/>
      </w:pPr>
      <w:r>
        <w:t xml:space="preserve">Marketing Objectives</w:t>
      </w:r>
    </w:p>
    <w:p>
      <w:pPr>
        <w:pStyle w:val="FirstParagraph"/>
      </w:pPr>
      <w:r>
        <w:t xml:space="preserve">Within 12 months, this Marketing Plan targets:</w:t>
      </w:r>
    </w:p>
    <w:p>
      <w:pPr>
        <w:numPr>
          <w:ilvl w:val="0"/>
          <w:numId w:val="1002"/>
        </w:numPr>
        <w:pStyle w:val="Compact"/>
      </w:pPr>
      <w:r>
        <w:t xml:space="preserve">Achieve 45% brand recognition among Miami financial decision-makers</w:t>
      </w:r>
    </w:p>
    <w:bookmarkEnd w:id="23"/>
    <w:bookmarkStart w:id="28" w:name="strategic-pillars-tactics"/>
    <w:p>
      <w:pPr>
        <w:pStyle w:val="Heading2"/>
      </w:pPr>
      <w:r>
        <w:t xml:space="preserve">Strategic Pillars &amp; Tactics</w:t>
      </w:r>
    </w:p>
    <w:bookmarkStart w:id="24" w:name="Xb82ec0bdee3f2dbaf0a297d399c5d6817111382"/>
    <w:p>
      <w:pPr>
        <w:pStyle w:val="Heading3"/>
      </w:pPr>
      <w:r>
        <w:t xml:space="preserve">1. Hyper-Local Brand Positioning in United States Miami</w:t>
      </w:r>
    </w:p>
    <w:p>
      <w:pPr>
        <w:pStyle w:val="FirstParagraph"/>
      </w:pPr>
      <w:r>
        <w:t xml:space="preserve">We will develop Miami-centric messaging that reflects local identity—using terms like "South Florida analytics," "Miami real estate modeling," and "Latin American market data." All marketing collateral (website, brochures, social media) will feature iconic Miami imagery alongside mathematical visualizations. A dedicated 'Miami Hub' section on the Mathematician website will showcase case studies with local brands like Hard Rock Stadium's revenue optimization project.</w:t>
      </w:r>
    </w:p>
    <w:bookmarkEnd w:id="24"/>
    <w:bookmarkStart w:id="25" w:name="community-integration-via-miami-events"/>
    <w:p>
      <w:pPr>
        <w:pStyle w:val="Heading3"/>
      </w:pPr>
      <w:r>
        <w:t xml:space="preserve">2. Community Integration via Miami Events</w:t>
      </w:r>
    </w:p>
    <w:p>
      <w:pPr>
        <w:pStyle w:val="FirstParagraph"/>
      </w:pPr>
      <w:r>
        <w:t xml:space="preserve">The Marketing Plan includes strategic participation in key United States Miami events:</w:t>
      </w:r>
    </w:p>
    <w:p>
      <w:pPr>
        <w:numPr>
          <w:ilvl w:val="0"/>
          <w:numId w:val="1003"/>
        </w:numPr>
        <w:pStyle w:val="Compact"/>
      </w:pPr>
      <w:r>
        <w:t xml:space="preserve">Sponsorship of the annual 'Miami Data Science Summit' (1,500+ attendees)</w:t>
      </w:r>
    </w:p>
    <w:p>
      <w:pPr>
        <w:numPr>
          <w:ilvl w:val="0"/>
          <w:numId w:val="1003"/>
        </w:numPr>
        <w:pStyle w:val="Compact"/>
      </w:pPr>
      <w:r>
        <w:t xml:space="preserve">Hosting 'Math for Miami Business' workshops at Wynwood's Co-Working Spaces</w:t>
      </w:r>
    </w:p>
    <w:p>
      <w:pPr>
        <w:numPr>
          <w:ilvl w:val="0"/>
          <w:numId w:val="1003"/>
        </w:numPr>
        <w:pStyle w:val="Compact"/>
      </w:pPr>
      <w:r>
        <w:t xml:space="preserve">Partnering with Miami International Airport for data analytics training for logistics managers</w:t>
      </w:r>
    </w:p>
    <w:bookmarkEnd w:id="25"/>
    <w:bookmarkStart w:id="26" w:name="digital-precision-targeting"/>
    <w:p>
      <w:pPr>
        <w:pStyle w:val="Heading3"/>
      </w:pPr>
      <w:r>
        <w:t xml:space="preserve">3. Digital Precision Targeting</w:t>
      </w:r>
    </w:p>
    <w:p>
      <w:pPr>
        <w:pStyle w:val="FirstParagraph"/>
      </w:pPr>
      <w:r>
        <w:t xml:space="preserve">Leveraging Google Ads and LinkedIn campaigns geo-targeted to Miami ZIP codes (33101-33199), we'll deploy content focused on local pain points: "How Mathematician Optimized Yacht Charter Revenue for Miami Luxury Brokerage" or "Real Estate Market Shifts Predicted Using Miami Demographics." SEO strategy will prioritize keywords like "mathematician Miami," "data analytics United States," and "Miami financial modeling expert."</w:t>
      </w:r>
    </w:p>
    <w:bookmarkEnd w:id="26"/>
    <w:bookmarkStart w:id="27" w:name="X0d520f172263269ff4a5edccc580f0039517b06"/>
    <w:p>
      <w:pPr>
        <w:pStyle w:val="Heading3"/>
      </w:pPr>
      <w:r>
        <w:t xml:space="preserve">4. Strategic Partnerships in United States Miami Ecosystem</w:t>
      </w:r>
    </w:p>
    <w:p>
      <w:pPr>
        <w:pStyle w:val="FirstParagraph"/>
      </w:pPr>
      <w:r>
        <w:t xml:space="preserve">Critical alliances include:</w:t>
      </w:r>
    </w:p>
    <w:p>
      <w:pPr>
        <w:numPr>
          <w:ilvl w:val="0"/>
          <w:numId w:val="1004"/>
        </w:numPr>
        <w:pStyle w:val="Compact"/>
      </w:pPr>
      <w:r>
        <w:t xml:space="preserve">Co-branding with The University of Miami's Business School for executive courses</w:t>
      </w:r>
    </w:p>
    <w:p>
      <w:pPr>
        <w:numPr>
          <w:ilvl w:val="0"/>
          <w:numId w:val="1004"/>
        </w:numPr>
        <w:pStyle w:val="Compact"/>
      </w:pPr>
      <w:r>
        <w:t xml:space="preserve">Alliance with Miami-Dade Chamber of Commerce for business analytics certification programs</w:t>
      </w:r>
    </w:p>
    <w:p>
      <w:pPr>
        <w:numPr>
          <w:ilvl w:val="0"/>
          <w:numId w:val="1004"/>
        </w:numPr>
        <w:pStyle w:val="Compact"/>
      </w:pPr>
      <w:r>
        <w:t xml:space="preserve">Collaboration with local tech incubators (e.g., Block 37) to mentor startups needing mathematical frameworks</w:t>
      </w:r>
    </w:p>
    <w:bookmarkEnd w:id="27"/>
    <w:bookmarkEnd w:id="28"/>
    <w:bookmarkStart w:id="29" w:name="X44a229905323b77d9b7f3627a874748fc5d0ecd"/>
    <w:p>
      <w:pPr>
        <w:pStyle w:val="Heading2"/>
      </w:pPr>
      <w:r>
        <w:t xml:space="preserve">Budget Allocation: United States Miami Focus</w:t>
      </w:r>
    </w:p>
    <w:p>
      <w:pPr>
        <w:pStyle w:val="FirstParagraph"/>
      </w:pPr>
      <w:r>
        <w:t xml:space="preserve">Total budget: $120,000 (allocated specifically for Miami market penetration):</w:t>
      </w:r>
    </w:p>
    <w:p>
      <w:pPr>
        <w:numPr>
          <w:ilvl w:val="0"/>
          <w:numId w:val="1005"/>
        </w:numPr>
        <w:pStyle w:val="Compact"/>
      </w:pPr>
      <w:r>
        <w:t xml:space="preserve">Event Sponsorships &amp; Activation (45%): $54,000 – Covering summit sponsorships and community workshops</w:t>
      </w:r>
    </w:p>
    <w:p>
      <w:pPr>
        <w:numPr>
          <w:ilvl w:val="0"/>
          <w:numId w:val="1005"/>
        </w:numPr>
        <w:pStyle w:val="Compact"/>
      </w:pPr>
      <w:r>
        <w:t xml:space="preserve">Digital Marketing (35%): $42,000 – Geo-targeted ads, SEO, and Miami-specific content creation</w:t>
      </w:r>
    </w:p>
    <w:p>
      <w:pPr>
        <w:numPr>
          <w:ilvl w:val="0"/>
          <w:numId w:val="1005"/>
        </w:numPr>
        <w:pStyle w:val="Compact"/>
      </w:pPr>
      <w:r>
        <w:t xml:space="preserve">Partnership Development (15%): $18,000 – Co-branded materials and event co-hosting costs</w:t>
      </w:r>
    </w:p>
    <w:p>
      <w:pPr>
        <w:numPr>
          <w:ilvl w:val="0"/>
          <w:numId w:val="1005"/>
        </w:numPr>
        <w:pStyle w:val="Compact"/>
      </w:pPr>
      <w:r>
        <w:t xml:space="preserve">Analytics &amp; Reporting (5%): $6,000 – Tracking campaign ROI in United States Miami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Miami Hub website, secure Chamber of Commerce partnership, and begin event sponsorships. Key milestone: Achieve 50% local social media engagement rate.</w:t>
      </w:r>
    </w:p>
    <w:p>
      <w:pPr>
        <w:pStyle w:val="BodyText"/>
      </w:pPr>
      <w:r>
        <w:rPr>
          <w:bCs/>
          <w:b/>
        </w:rPr>
        <w:t xml:space="preserve">Months 4-6:</w:t>
      </w:r>
      <w:r>
        <w:t xml:space="preserve"> </w:t>
      </w:r>
      <w:r>
        <w:t xml:space="preserve">Host first Miami workshop series; initiate university collaboration; deploy targeted ad campaigns. Key milestone: Secure first three enterprise contracts.</w:t>
      </w:r>
    </w:p>
    <w:p>
      <w:pPr>
        <w:pStyle w:val="BodyText"/>
      </w:pPr>
      <w:r>
        <w:rPr>
          <w:bCs/>
          <w:b/>
        </w:rPr>
        <w:t xml:space="preserve">Months 7-9:</w:t>
      </w:r>
      <w:r>
        <w:t xml:space="preserve"> </w:t>
      </w:r>
      <w:r>
        <w:t xml:space="preserve">Launch joint certification program with University of Miami; expand to Latin American market analysis services. Key milestone: 30% client retention rate through personalized Miami analytics reports.</w:t>
      </w:r>
    </w:p>
    <w:p>
      <w:pPr>
        <w:pStyle w:val="BodyText"/>
      </w:pPr>
      <w:r>
        <w:rPr>
          <w:bCs/>
          <w:b/>
        </w:rPr>
        <w:t xml:space="preserve">Months 10-12:</w:t>
      </w:r>
      <w:r>
        <w:t xml:space="preserve"> </w:t>
      </w:r>
      <w:r>
        <w:t xml:space="preserve">Scale successful tactics; develop 'Mathematician Impact Report' showcasing United States Miami business outcomes. Key milestone: Achieve $350k revenue target with 45% brand recognition.</w:t>
      </w:r>
    </w:p>
    <w:bookmarkEnd w:id="30"/>
    <w:bookmarkStart w:id="31" w:name="evaluation-metrics"/>
    <w:p>
      <w:pPr>
        <w:pStyle w:val="Heading2"/>
      </w:pPr>
      <w:r>
        <w:t xml:space="preserve">Evaluation Metrics</w:t>
      </w:r>
    </w:p>
    <w:p>
      <w:pPr>
        <w:pStyle w:val="FirstParagraph"/>
      </w:pPr>
      <w:r>
        <w:t xml:space="preserve">We measure success through three KPIs specific to United States Miami:</w:t>
      </w:r>
    </w:p>
    <w:p>
      <w:pPr>
        <w:numPr>
          <w:ilvl w:val="0"/>
          <w:numId w:val="1006"/>
        </w:numPr>
        <w:pStyle w:val="Compact"/>
      </w:pPr>
      <w:r>
        <w:rPr>
          <w:iCs/>
          <w:i/>
        </w:rPr>
        <w:t xml:space="preserve">Local Market Penetration:</w:t>
      </w:r>
      <w:r>
        <w:t xml:space="preserve"> </w:t>
      </w:r>
      <w:r>
        <w:t xml:space="preserve">Number of contracts secured from Miami-based businesses (target: 45+ by Month 12)</w:t>
      </w:r>
    </w:p>
    <w:p>
      <w:pPr>
        <w:numPr>
          <w:ilvl w:val="0"/>
          <w:numId w:val="1006"/>
        </w:numPr>
        <w:pStyle w:val="Compact"/>
      </w:pPr>
      <w:r>
        <w:rPr>
          <w:iCs/>
          <w:i/>
        </w:rPr>
        <w:t xml:space="preserve">National Brand Association:</w:t>
      </w:r>
      <w:r>
        <w:t xml:space="preserve"> </w:t>
      </w:r>
      <w:r>
        <w:t xml:space="preserve">Google Trends analysis tracking "Mathematician" + "Miami" searches (target: +200% YoY)</w:t>
      </w:r>
    </w:p>
    <w:p>
      <w:pPr>
        <w:numPr>
          <w:ilvl w:val="0"/>
          <w:numId w:val="1006"/>
        </w:numPr>
        <w:pStyle w:val="Compact"/>
      </w:pPr>
      <w:r>
        <w:rPr>
          <w:iCs/>
          <w:i/>
        </w:rPr>
        <w:t xml:space="preserve">Community Influence:</w:t>
      </w:r>
      <w:r>
        <w:t xml:space="preserve"> </w:t>
      </w:r>
      <w:r>
        <w:t xml:space="preserve">Media mentions in Miami-focused publications (e.g., Miami Herald, South Florida Business Journal) targeting 15+ features</w:t>
      </w:r>
    </w:p>
    <w:bookmarkEnd w:id="31"/>
    <w:bookmarkStart w:id="32" w:name="X8bf383bdf9c8be13e9b058af848fa5693dfeeb8"/>
    <w:p>
      <w:pPr>
        <w:pStyle w:val="Heading2"/>
      </w:pPr>
      <w:r>
        <w:t xml:space="preserve">Conclusion: Why This Marketing Plan Wins in United States Miami</w:t>
      </w:r>
    </w:p>
    <w:p>
      <w:pPr>
        <w:pStyle w:val="FirstParagraph"/>
      </w:pPr>
      <w:r>
        <w:t xml:space="preserve">This Marketing Plan transforms the Mathematician from a generic service provider into an indispensable partner for Miami's economic engine. By embedding mathematical expertise within Miami's cultural and business fabric—not as an add-on but as a core strategic asset—we position our Mathematician brand to command premium pricing while driving measurable impact. The United States Miami market demands precision analytics in real-time, and this plan delivers exactly that: a locally engineered Marketing Plan where every tactic speaks directly to the heartbeat of South Florida. As Miami continues its trajectory as a global business gateway, the Mathematician becomes not just a consultant but an architect of data-driven success across all sectors. This is how we win in United States Miami—one mathematical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United States Miami</dc:title>
  <dc:creator/>
  <dc:language>en</dc:language>
  <cp:keywords/>
  <dcterms:created xsi:type="dcterms:W3CDTF">2025-12-13T09:29:31Z</dcterms:created>
  <dcterms:modified xsi:type="dcterms:W3CDTF">2025-12-13T09:29:31Z</dcterms:modified>
</cp:coreProperties>
</file>

<file path=docProps/custom.xml><?xml version="1.0" encoding="utf-8"?>
<Properties xmlns="http://schemas.openxmlformats.org/officeDocument/2006/custom-properties" xmlns:vt="http://schemas.openxmlformats.org/officeDocument/2006/docPropsVTypes"/>
</file>