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Tashkent,</w:t>
      </w:r>
      <w:r>
        <w:t xml:space="preserve"> </w:t>
      </w:r>
      <w:r>
        <w:t xml:space="preserve">Uzbekistan</w:t>
      </w:r>
    </w:p>
    <w:bookmarkStart w:id="33" w:name="X6aef289943bfa5192ee44e57386ee9c89180461"/>
    <w:p>
      <w:pPr>
        <w:pStyle w:val="Heading1"/>
      </w:pPr>
      <w:r>
        <w:t xml:space="preserve">Comprehensive Marketing Plan for "Mathematician" Educational Platform in Tashkent, Uzbekistan</w:t>
      </w:r>
    </w:p>
    <w:bookmarkStart w:id="20" w:name="executive-summary"/>
    <w:p>
      <w:pPr>
        <w:pStyle w:val="Heading2"/>
      </w:pPr>
      <w:r>
        <w:t xml:space="preserve">Executive Summary</w:t>
      </w:r>
    </w:p>
    <w:p>
      <w:pPr>
        <w:pStyle w:val="FirstParagraph"/>
      </w:pPr>
      <w:r>
        <w:t xml:space="preserve">This Marketing Plan outlines the strategic approach to launch and scale "Mathematician," an innovative educational platform specializing in advanced mathematics training, targeting Tashkent's academic and professional communities. With Uzbekistan's national emphasis on STEM education and Tashkent as the country's intellectual hub, this plan leverages local market dynamics to position "Mathematician" as the premier solution for mathematical excellence. The strategy focuses on bridging skill gaps in Uzbekistan's growing tech sector while aligning with government initiatives like "Digital Uzbekistan 2030."</w:t>
      </w:r>
    </w:p>
    <w:bookmarkEnd w:id="20"/>
    <w:bookmarkStart w:id="21" w:name="Xfd48e2d1bd1b0432e183656c723bef8a9574e25"/>
    <w:p>
      <w:pPr>
        <w:pStyle w:val="Heading2"/>
      </w:pPr>
      <w:r>
        <w:t xml:space="preserve">Market Analysis: Tashkent, Uzbekistan Context</w:t>
      </w:r>
    </w:p>
    <w:p>
      <w:pPr>
        <w:pStyle w:val="FirstParagraph"/>
      </w:pPr>
      <w:r>
        <w:t xml:space="preserve">Tashkent presents a high-potential market for mathematical education due to:</w:t>
      </w:r>
    </w:p>
    <w:p>
      <w:pPr>
        <w:numPr>
          <w:ilvl w:val="0"/>
          <w:numId w:val="1001"/>
        </w:numPr>
        <w:pStyle w:val="Compact"/>
      </w:pPr>
      <w:r>
        <w:rPr>
          <w:bCs/>
          <w:b/>
        </w:rPr>
        <w:t xml:space="preserve">Educational Demand:</w:t>
      </w:r>
      <w:r>
        <w:t xml:space="preserve"> </w:t>
      </w:r>
      <w:r>
        <w:t xml:space="preserve">Over 300,000 students enrolled in STEM fields across Tashkent's 58 universities (Uzbekistan Ministry of Education, 2023), with growing demand for specialized math training beyond standard curricula.</w:t>
      </w:r>
    </w:p>
    <w:p>
      <w:pPr>
        <w:numPr>
          <w:ilvl w:val="0"/>
          <w:numId w:val="1001"/>
        </w:numPr>
        <w:pStyle w:val="Compact"/>
      </w:pPr>
      <w:r>
        <w:rPr>
          <w:bCs/>
          <w:b/>
        </w:rPr>
        <w:t xml:space="preserve">National Strategy:</w:t>
      </w:r>
      <w:r>
        <w:t xml:space="preserve"> </w:t>
      </w:r>
      <w:r>
        <w:t xml:space="preserve">Uzbekistan's "Strategy for Action in the Field of Digital Economy" prioritizes STEM skills development, creating favorable policy conditions for educational innovations.</w:t>
      </w:r>
    </w:p>
    <w:p>
      <w:pPr>
        <w:numPr>
          <w:ilvl w:val="0"/>
          <w:numId w:val="1001"/>
        </w:numPr>
        <w:pStyle w:val="Compact"/>
      </w:pPr>
      <w:r>
        <w:rPr>
          <w:bCs/>
          <w:b/>
        </w:rPr>
        <w:t xml:space="preserve">Market Gap:</w:t>
      </w:r>
      <w:r>
        <w:t xml:space="preserve"> </w:t>
      </w:r>
      <w:r>
        <w:t xml:space="preserve">Existing platforms lack culturally relevant content addressing Uzbekistan's specific academic requirements and bilingual (Uzbek/English) learning needs.</w:t>
      </w:r>
    </w:p>
    <w:bookmarkEnd w:id="21"/>
    <w:bookmarkStart w:id="22" w:name="target-audience-segmentation"/>
    <w:p>
      <w:pPr>
        <w:pStyle w:val="Heading2"/>
      </w:pPr>
      <w:r>
        <w:t xml:space="preserve">Target Audience Segmentation</w:t>
      </w:r>
    </w:p>
    <w:p>
      <w:pPr>
        <w:pStyle w:val="FirstParagraph"/>
      </w:pPr>
      <w:r>
        <w:t xml:space="preserve">"Mathematician" will target three core segments in Tashkent:</w:t>
      </w:r>
    </w:p>
    <w:p>
      <w:pPr>
        <w:numPr>
          <w:ilvl w:val="0"/>
          <w:numId w:val="1002"/>
        </w:numPr>
        <w:pStyle w:val="Compact"/>
      </w:pPr>
      <w:r>
        <w:rPr>
          <w:bCs/>
          <w:b/>
        </w:rPr>
        <w:t xml:space="preserve">University Students (65%):</w:t>
      </w:r>
      <w:r>
        <w:t xml:space="preserve"> </w:t>
      </w:r>
      <w:r>
        <w:t xml:space="preserve">Particularly engineering, computer science, and economics majors seeking competitive edge for internships at Tashkent's tech hubs like "Tashkent City." Priority: Advanced calculus and data science modules.</w:t>
      </w:r>
    </w:p>
    <w:p>
      <w:pPr>
        <w:numPr>
          <w:ilvl w:val="0"/>
          <w:numId w:val="1002"/>
        </w:numPr>
        <w:pStyle w:val="Compact"/>
      </w:pPr>
      <w:r>
        <w:rPr>
          <w:bCs/>
          <w:b/>
        </w:rPr>
        <w:t xml:space="preserve">Professional Development Seekers (25%):</w:t>
      </w:r>
      <w:r>
        <w:t xml:space="preserve"> </w:t>
      </w:r>
      <w:r>
        <w:t xml:space="preserve">IT professionals (e.g., at companies like Uzum Group, Pochta.uz) requiring mathematical upskilling for AI/ML roles.</w:t>
      </w:r>
    </w:p>
    <w:p>
      <w:pPr>
        <w:numPr>
          <w:ilvl w:val="0"/>
          <w:numId w:val="1002"/>
        </w:numPr>
        <w:pStyle w:val="Compact"/>
      </w:pPr>
      <w:r>
        <w:rPr>
          <w:bCs/>
          <w:b/>
        </w:rPr>
        <w:t xml:space="preserve">Secondary School Educators (10%):</w:t>
      </w:r>
      <w:r>
        <w:t xml:space="preserve"> </w:t>
      </w:r>
      <w:r>
        <w:t xml:space="preserve">Teachers preparing students for national Olympiads and university admissions.</w:t>
      </w:r>
    </w:p>
    <w:bookmarkEnd w:id="22"/>
    <w:bookmarkStart w:id="23" w:name="marketing-objectives-year-1"/>
    <w:p>
      <w:pPr>
        <w:pStyle w:val="Heading2"/>
      </w:pPr>
      <w:r>
        <w:t xml:space="preserve">Marketing Objectives (Year 1)</w:t>
      </w:r>
    </w:p>
    <w:p>
      <w:pPr>
        <w:pStyle w:val="FirstParagraph"/>
      </w:pPr>
      <w:r>
        <w:t xml:space="preserve">Specific, measurable goals for Tashkent launch:</w:t>
      </w:r>
    </w:p>
    <w:p>
      <w:pPr>
        <w:numPr>
          <w:ilvl w:val="0"/>
          <w:numId w:val="1003"/>
        </w:numPr>
        <w:pStyle w:val="Compact"/>
      </w:pPr>
      <w:r>
        <w:t xml:space="preserve">Achieve 15,000 registered users in Tashkent within 12 months</w:t>
      </w:r>
    </w:p>
    <w:p>
      <w:pPr>
        <w:numPr>
          <w:ilvl w:val="0"/>
          <w:numId w:val="1003"/>
        </w:numPr>
        <w:pStyle w:val="Compact"/>
      </w:pPr>
      <w:r>
        <w:t xml:space="preserve">Capture 35% market share among premium math education platforms in Uzbekistan</w:t>
      </w:r>
    </w:p>
    <w:p>
      <w:pPr>
        <w:numPr>
          <w:ilvl w:val="0"/>
          <w:numId w:val="1003"/>
        </w:numPr>
        <w:pStyle w:val="Compact"/>
      </w:pPr>
      <w:r>
        <w:t xml:space="preserve">Secure partnerships with 12 leading universities (e.g., National University of Uzbekistan) by Q3 2024</w:t>
      </w:r>
    </w:p>
    <w:p>
      <w:pPr>
        <w:numPr>
          <w:ilvl w:val="0"/>
          <w:numId w:val="1003"/>
        </w:numPr>
        <w:pStyle w:val="Compact"/>
      </w:pPr>
      <w:r>
        <w:t xml:space="preserve">Attain 85% user satisfaction rating via quarterly surveys</w:t>
      </w:r>
    </w:p>
    <w:bookmarkEnd w:id="23"/>
    <w:bookmarkStart w:id="28" w:name="marketing-strategies-tactics"/>
    <w:p>
      <w:pPr>
        <w:pStyle w:val="Heading2"/>
      </w:pPr>
      <w:r>
        <w:t xml:space="preserve">Marketing Strategies &amp; Tactics</w:t>
      </w:r>
    </w:p>
    <w:bookmarkStart w:id="24" w:name="culturally-tailored-product-positioning"/>
    <w:p>
      <w:pPr>
        <w:pStyle w:val="Heading3"/>
      </w:pPr>
      <w:r>
        <w:t xml:space="preserve">1. Culturally Tailored Product Positioning</w:t>
      </w:r>
    </w:p>
    <w:p>
      <w:pPr>
        <w:pStyle w:val="FirstParagraph"/>
      </w:pPr>
      <w:r>
        <w:t xml:space="preserve">"Mathematician" will localize all content for Uzbekistan Tashkent:</w:t>
      </w:r>
      <w:r>
        <w:t xml:space="preserve"> </w:t>
      </w:r>
      <w:r>
        <w:t xml:space="preserve">• All instructional videos feature Uzbek-speaking instructors with real-world examples from Tashkent's economic context (e.g., mathematical modeling of urban infrastructure challenges).</w:t>
      </w:r>
      <w:r>
        <w:t xml:space="preserve"> </w:t>
      </w:r>
      <w:r>
        <w:t xml:space="preserve">• Content delivered in Uzbek and English bilingual format, addressing the national language policy while preparing students for international opportunities.</w:t>
      </w:r>
      <w:r>
        <w:t xml:space="preserve"> </w:t>
      </w:r>
      <w:r>
        <w:t xml:space="preserve">• Modules aligned with Uzbekistan's new math curriculum standards (2023), validated by the Ministry of Education.</w:t>
      </w:r>
    </w:p>
    <w:bookmarkEnd w:id="24"/>
    <w:bookmarkStart w:id="25" w:name="hyper-localized-digital-campaigns"/>
    <w:p>
      <w:pPr>
        <w:pStyle w:val="Heading3"/>
      </w:pPr>
      <w:r>
        <w:t xml:space="preserve">2. Hyper-Localized Digital Campaigns</w:t>
      </w:r>
    </w:p>
    <w:p>
      <w:pPr>
        <w:pStyle w:val="FirstParagraph"/>
      </w:pPr>
      <w:r>
        <w:t xml:space="preserve">Targeted Tashkent-specific digital outreach:</w:t>
      </w:r>
      <w:r>
        <w:t xml:space="preserve"> </w:t>
      </w:r>
      <w:r>
        <w:t xml:space="preserve">•</w:t>
      </w:r>
      <w:r>
        <w:t xml:space="preserve"> </w:t>
      </w:r>
      <w:r>
        <w:rPr>
          <w:bCs/>
          <w:b/>
        </w:rPr>
        <w:t xml:space="preserve">TikTok/Instagram:</w:t>
      </w:r>
      <w:r>
        <w:t xml:space="preserve"> </w:t>
      </w:r>
      <w:r>
        <w:t xml:space="preserve">Short-form videos featuring Tashkent University students sharing success stories using "Mathematician," using hashtags like #ToshkentMatematika.</w:t>
      </w:r>
      <w:r>
        <w:t xml:space="preserve"> </w:t>
      </w:r>
      <w:r>
        <w:t xml:space="preserve">•</w:t>
      </w:r>
      <w:r>
        <w:t xml:space="preserve"> </w:t>
      </w:r>
      <w:r>
        <w:rPr>
          <w:bCs/>
          <w:b/>
        </w:rPr>
        <w:t xml:space="preserve">Google Ads:</w:t>
      </w:r>
      <w:r>
        <w:t xml:space="preserve"> </w:t>
      </w:r>
      <w:r>
        <w:t xml:space="preserve">Geo-targeting within Tashkent, with keywords in Uzbek (e.g., "онлайн математика Ташкент").</w:t>
      </w:r>
      <w:r>
        <w:t xml:space="preserve"> </w:t>
      </w:r>
      <w:r>
        <w:t xml:space="preserve">•</w:t>
      </w:r>
      <w:r>
        <w:t xml:space="preserve"> </w:t>
      </w:r>
      <w:r>
        <w:rPr>
          <w:bCs/>
          <w:b/>
        </w:rPr>
        <w:t xml:space="preserve">Partnerships:</w:t>
      </w:r>
      <w:r>
        <w:t xml:space="preserve"> </w:t>
      </w:r>
      <w:r>
        <w:t xml:space="preserve">Collaborate with Tashkent-based influencers like @TashkentTech (150K followers) for authentic testimonials.</w:t>
      </w:r>
    </w:p>
    <w:bookmarkEnd w:id="25"/>
    <w:bookmarkStart w:id="26" w:name="strategic-community-engagement"/>
    <w:p>
      <w:pPr>
        <w:pStyle w:val="Heading3"/>
      </w:pPr>
      <w:r>
        <w:t xml:space="preserve">3. Strategic Community Engagement</w:t>
      </w:r>
    </w:p>
    <w:p>
      <w:pPr>
        <w:pStyle w:val="FirstParagraph"/>
      </w:pPr>
      <w:r>
        <w:t xml:space="preserve">Beyond digital channels, "Mathematician" will embed itself in Tashkent's academic ecosystem:</w:t>
      </w:r>
      <w:r>
        <w:t xml:space="preserve"> </w:t>
      </w:r>
      <w:r>
        <w:t xml:space="preserve">• Sponsor the annual Tashkent Math Olympiad with exclusive "Mathematician" training workshops.</w:t>
      </w:r>
      <w:r>
        <w:t xml:space="preserve"> </w:t>
      </w:r>
      <w:r>
        <w:t xml:space="preserve">• Host monthly free masterclasses at Tashkent State University (TSU), featuring Uzbek mathematicians like Dr. S. Karimov.</w:t>
      </w:r>
      <w:r>
        <w:t xml:space="preserve"> </w:t>
      </w:r>
      <w:r>
        <w:t xml:space="preserve">• Establish "Mathematician Ambassadors" program recruiting 50 top students from 12 Tashkent universities to promote the platform organically.</w:t>
      </w:r>
    </w:p>
    <w:bookmarkEnd w:id="26"/>
    <w:bookmarkStart w:id="27" w:name="institutional-partnerships"/>
    <w:p>
      <w:pPr>
        <w:pStyle w:val="Heading3"/>
      </w:pPr>
      <w:r>
        <w:t xml:space="preserve">4. Institutional Partnerships</w:t>
      </w:r>
    </w:p>
    <w:p>
      <w:pPr>
        <w:pStyle w:val="FirstParagraph"/>
      </w:pPr>
      <w:r>
        <w:t xml:space="preserve">Priority B2B approach for sustainable growth:</w:t>
      </w:r>
      <w:r>
        <w:t xml:space="preserve"> </w:t>
      </w:r>
      <w:r>
        <w:t xml:space="preserve">• Negotiate university license agreements for "Mathematician" as supplementary course material.</w:t>
      </w:r>
      <w:r>
        <w:t xml:space="preserve"> </w:t>
      </w:r>
      <w:r>
        <w:t xml:space="preserve">• Develop customized analytics dashboards for institutions to track student progress in Tashkent's academic system.</w:t>
      </w:r>
      <w:r>
        <w:t xml:space="preserve"> </w:t>
      </w:r>
      <w:r>
        <w:t xml:space="preserve">• Co-host industry forums with Tashkent Chamber of Commerce on "Math Skills for Uzbekistan's Digital Future."</w:t>
      </w:r>
    </w:p>
    <w:bookmarkEnd w:id="27"/>
    <w:bookmarkEnd w:id="28"/>
    <w:bookmarkStart w:id="29" w:name="budget-allocation-tashkent-focus"/>
    <w:p>
      <w:pPr>
        <w:pStyle w:val="Heading2"/>
      </w:pPr>
      <w:r>
        <w:t xml:space="preserve">Budget Allocation (Tashkent Focus)</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Marketing (TikTok/Google)</w:t>
      </w:r>
    </w:p>
    <w:p>
      <w:pPr>
        <w:pStyle w:val="BodyText"/>
      </w:pPr>
      <w:r>
        <w:t xml:space="preserve">35%</w:t>
      </w:r>
    </w:p>
    <w:p>
      <w:pPr>
        <w:pStyle w:val="BodyText"/>
      </w:pPr>
      <w:r>
        <w:t xml:space="preserve">Tashkent's high youth social media penetration</w:t>
      </w:r>
    </w:p>
    <w:p>
      <w:pPr>
        <w:pStyle w:val="BodyText"/>
      </w:pPr>
      <w:r>
        <w:t xml:space="preserve">University Partnerships &amp; Events</w:t>
      </w:r>
    </w:p>
    <w:p>
      <w:pPr>
        <w:pStyle w:val="BodyText"/>
      </w:pPr>
      <w:r>
        <w:t xml:space="preserve">30%</w:t>
      </w:r>
    </w:p>
    <w:p>
      <w:pPr>
        <w:pStyle w:val="BodyText"/>
      </w:pPr>
      <w:r>
        <w:t xml:space="preserve">Leverages institutional trust in Tashkent academia</w:t>
      </w:r>
    </w:p>
    <w:p>
      <w:pPr>
        <w:pStyle w:val="BodyText"/>
      </w:pPr>
      <w:r>
        <w:t xml:space="preserve">Influencer Collaborations</w:t>
      </w:r>
    </w:p>
    <w:p>
      <w:pPr>
        <w:pStyle w:val="BodyText"/>
      </w:pPr>
      <w:r>
        <w:t xml:space="preserve">20%</w:t>
      </w:r>
    </w:p>
    <w:p>
      <w:pPr>
        <w:pStyle w:val="BodyText"/>
      </w:pPr>
      <w:r>
        <w:t xml:space="preserve">Captures Tashkent's youth influencers with local credibility</w:t>
      </w:r>
    </w:p>
    <w:p>
      <w:pPr>
        <w:pStyle w:val="BodyText"/>
      </w:pPr>
      <w:r>
        <w:t xml:space="preserve">Content Localization (Uzbek/English)</w:t>
      </w:r>
    </w:p>
    <w:p>
      <w:pPr>
        <w:pStyle w:val="BodyText"/>
      </w:pPr>
      <w:r>
        <w:t xml:space="preserve">15%</w:t>
      </w:r>
    </w:p>
    <w:p>
      <w:pPr>
        <w:pStyle w:val="BodyText"/>
      </w:pPr>
      <w:r>
        <w:t xml:space="preserve">Critical for cultural resonance in Uzbekistan Tashkent</w:t>
      </w:r>
    </w:p>
    <w:bookmarkEnd w:id="29"/>
    <w:bookmarkStart w:id="30" w:name="implementation-timeline-tashkent-launch"/>
    <w:p>
      <w:pPr>
        <w:pStyle w:val="Heading2"/>
      </w:pPr>
      <w:r>
        <w:t xml:space="preserve">Implementation Timeline: Tashkent Launch</w:t>
      </w:r>
    </w:p>
    <w:p>
      <w:pPr>
        <w:pStyle w:val="FirstParagraph"/>
      </w:pPr>
      <w:r>
        <w:rPr>
          <w:bCs/>
          <w:b/>
        </w:rPr>
        <w:t xml:space="preserve">Q1 2024:</w:t>
      </w:r>
      <w:r>
        <w:t xml:space="preserve"> </w:t>
      </w:r>
      <w:r>
        <w:t xml:space="preserve">Finalize university partnerships; launch bilingual website with Uzbek interface. Partner with Tashkent City Municipality for school outreach.</w:t>
      </w:r>
    </w:p>
    <w:p>
      <w:pPr>
        <w:pStyle w:val="BodyText"/>
      </w:pPr>
      <w:r>
        <w:rPr>
          <w:bCs/>
          <w:b/>
        </w:rPr>
        <w:t xml:space="preserve">Q2 2024:</w:t>
      </w:r>
      <w:r>
        <w:t xml:space="preserve"> </w:t>
      </w:r>
      <w:r>
        <w:t xml:space="preserve">Release first "Tashkent Math Challenge" campaign targeting secondary schools. Deploy TikTok content series featuring local students.</w:t>
      </w:r>
    </w:p>
    <w:p>
      <w:pPr>
        <w:pStyle w:val="BodyText"/>
      </w:pPr>
      <w:r>
        <w:rPr>
          <w:bCs/>
          <w:b/>
        </w:rPr>
        <w:t xml:space="preserve">Q3 2024:</w:t>
      </w:r>
      <w:r>
        <w:t xml:space="preserve"> </w:t>
      </w:r>
      <w:r>
        <w:t xml:space="preserve">Host inaugural Tashkent Math Summit at National University; onboard first 15 university partners.</w:t>
      </w:r>
    </w:p>
    <w:p>
      <w:pPr>
        <w:pStyle w:val="BodyText"/>
      </w:pPr>
      <w:r>
        <w:rPr>
          <w:bCs/>
          <w:b/>
        </w:rPr>
        <w:t xml:space="preserve">Q4 2024:</w:t>
      </w:r>
      <w:r>
        <w:t xml:space="preserve"> </w:t>
      </w:r>
      <w:r>
        <w:t xml:space="preserve">Scale to include all major Tashkent universities; launch analytics dashboard for institutional clients.</w:t>
      </w:r>
    </w:p>
    <w:bookmarkEnd w:id="30"/>
    <w:bookmarkStart w:id="31" w:name="evaluation-framework"/>
    <w:p>
      <w:pPr>
        <w:pStyle w:val="Heading2"/>
      </w:pPr>
      <w:r>
        <w:t xml:space="preserve">Evaluation Framework</w:t>
      </w:r>
    </w:p>
    <w:p>
      <w:pPr>
        <w:pStyle w:val="FirstParagraph"/>
      </w:pPr>
      <w:r>
        <w:t xml:space="preserve">Success will be measured through Tashkent-specific KPIs:</w:t>
      </w:r>
      <w:r>
        <w:t xml:space="preserve"> </w:t>
      </w:r>
      <w:r>
        <w:t xml:space="preserve">• User Acquisition Cost (UAC): Target ≤ $1.80 per user in Tashkent vs. industry average of $3.50.</w:t>
      </w:r>
      <w:r>
        <w:t xml:space="preserve"> </w:t>
      </w:r>
      <w:r>
        <w:t xml:space="preserve">• University Adoption Rate: Track number of institutions integrating "Mathematician" into curricula.</w:t>
      </w:r>
      <w:r>
        <w:t xml:space="preserve"> </w:t>
      </w:r>
      <w:r>
        <w:t xml:space="preserve">• Local Engagement: Monitor social media sentiment using Uzbek language analytics tools (e.g., Brandwatch Uzbek).</w:t>
      </w:r>
      <w:r>
        <w:t xml:space="preserve"> </w:t>
      </w:r>
      <w:r>
        <w:t xml:space="preserve">• Impact Metrics: Correlation between platform usage and student performance in Tashkent's national math exams.</w:t>
      </w:r>
    </w:p>
    <w:bookmarkEnd w:id="31"/>
    <w:bookmarkStart w:id="32" w:name="conclusion"/>
    <w:p>
      <w:pPr>
        <w:pStyle w:val="Heading2"/>
      </w:pPr>
      <w:r>
        <w:t xml:space="preserve">Conclusion</w:t>
      </w:r>
    </w:p>
    <w:p>
      <w:pPr>
        <w:pStyle w:val="FirstParagraph"/>
      </w:pPr>
      <w:r>
        <w:t xml:space="preserve">"Mathematician" is positioned not merely as an educational tool but as a catalyst for mathematical excellence within Uzbekistan's strategic development goals. By deeply embedding itself in Tashkent's academic ecosystem through culturally attuned content, hyper-localized marketing, and institutional partnerships, this Marketing Plan ensures "Mathematician" becomes synonymous with mathematical advancement in Uzbekistan Tashkent. The strategy transforms a global educational concept into a locally relevant asset that directly supports Uzbekistan's vision for becoming a regional STEM leader – proving that the most impactful solutions are those designed with their community at the center.</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Tashkent, Uzbekistan</dc:title>
  <dc:creator/>
  <dc:language>en</dc:language>
  <cp:keywords/>
  <dcterms:created xsi:type="dcterms:W3CDTF">2026-07-23T22:08:51Z</dcterms:created>
  <dcterms:modified xsi:type="dcterms:W3CDTF">2026-07-23T22:08:51Z</dcterms:modified>
</cp:coreProperties>
</file>

<file path=docProps/custom.xml><?xml version="1.0" encoding="utf-8"?>
<Properties xmlns="http://schemas.openxmlformats.org/officeDocument/2006/custom-properties" xmlns:vt="http://schemas.openxmlformats.org/officeDocument/2006/docPropsVTypes"/>
</file>