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3" w:name="X241811eb482bc1a176c5f5754fc3a6ffa6dda57"/>
    <w:p>
      <w:pPr>
        <w:pStyle w:val="Heading1"/>
      </w:pPr>
      <w:r>
        <w:t xml:space="preserve">Comprehensive Marketing Plan for Mechanical Engineering Services in New York City, United States</w:t>
      </w:r>
    </w:p>
    <w:bookmarkStart w:id="20" w:name="executive-summary"/>
    <w:p>
      <w:pPr>
        <w:pStyle w:val="Heading2"/>
      </w:pPr>
      <w:r>
        <w:t xml:space="preserve">Executive Summary</w:t>
      </w:r>
    </w:p>
    <w:p>
      <w:pPr>
        <w:pStyle w:val="FirstParagraph"/>
      </w:pPr>
      <w:r>
        <w:t xml:space="preserve">This marketing plan outlines a targeted strategy for establishing and growing mechanical engineering services within the competitive landscape of New York City, United States. As urban infrastructure faces unprecedented challenges from climate resilience demands and technological advancements, this plan positions a specialized Mechanical Engineer as an indispensable partner for commercial real estate developers, municipal agencies, and industrial clients across the five boroughs. The focus is on leveraging NYC's unique environmental pressures—including extreme weather events and stringent building codes—to position our engineering expertise as critical to sustainable growth. This document details actionable tactics to capture market share in the $420 million New York City mechanical engineering services market (2023 industry report), with measurable goals for client acquisition and brand authority within 18 months.</w:t>
      </w:r>
    </w:p>
    <w:bookmarkEnd w:id="20"/>
    <w:bookmarkStart w:id="21" w:name="market-analysis-new-york-city-context"/>
    <w:p>
      <w:pPr>
        <w:pStyle w:val="Heading2"/>
      </w:pPr>
      <w:r>
        <w:t xml:space="preserve">Market Analysis: New York City Context</w:t>
      </w:r>
    </w:p>
    <w:p>
      <w:pPr>
        <w:pStyle w:val="FirstParagraph"/>
      </w:pPr>
      <w:r>
        <w:t xml:space="preserve">New York City represents a high-stakes environment where mechanical engineering expertise directly impacts public safety, economic vitality, and environmental compliance. The city's 400+ million square feet of commercial real estate requires constant HVAC optimization for energy codes (Local Law 97), while aging infrastructure demands innovative solutions for retrofits. In the United States, NYC alone accounts for 12% of all mechanical engineering consulting contracts due to its density and regulatory complexity. Key market insights include:</w:t>
      </w:r>
    </w:p>
    <w:p>
      <w:pPr>
        <w:numPr>
          <w:ilvl w:val="0"/>
          <w:numId w:val="1001"/>
        </w:numPr>
        <w:pStyle w:val="Compact"/>
      </w:pPr>
      <w:r>
        <w:rPr>
          <w:bCs/>
          <w:b/>
        </w:rPr>
        <w:t xml:space="preserve">Regulatory Pressure</w:t>
      </w:r>
      <w:r>
        <w:t xml:space="preserve">: Local Law 97 mandates 40% emissions reductions by 2030—creating urgent demand for engineers who can design compliant systems.</w:t>
      </w:r>
    </w:p>
    <w:p>
      <w:pPr>
        <w:numPr>
          <w:ilvl w:val="0"/>
          <w:numId w:val="1001"/>
        </w:numPr>
        <w:pStyle w:val="Compact"/>
      </w:pPr>
      <w:r>
        <w:rPr>
          <w:bCs/>
          <w:b/>
        </w:rPr>
        <w:t xml:space="preserve">Urban Challenges</w:t>
      </w:r>
      <w:r>
        <w:t xml:space="preserve">: Space constraints in Manhattan require compact, high-efficiency mechanical solutions unlike suburban markets.</w:t>
      </w:r>
    </w:p>
    <w:p>
      <w:pPr>
        <w:numPr>
          <w:ilvl w:val="0"/>
          <w:numId w:val="1001"/>
        </w:numPr>
        <w:pStyle w:val="Compact"/>
      </w:pPr>
      <w:r>
        <w:rPr>
          <w:bCs/>
          <w:b/>
        </w:rPr>
        <w:t xml:space="preserve">Competitive Gap</w:t>
      </w:r>
      <w:r>
        <w:t xml:space="preserve">: Most engineering firms lack NYC-specific experience with historic building renovations (e.g., converting 1920s tenements to LEED-certified spaces).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the United States New York City ecosystem:</w:t>
      </w:r>
    </w:p>
    <w:p>
      <w:pPr>
        <w:numPr>
          <w:ilvl w:val="0"/>
          <w:numId w:val="1002"/>
        </w:numPr>
        <w:pStyle w:val="Compact"/>
      </w:pPr>
      <w:r>
        <w:rPr>
          <w:bCs/>
          <w:b/>
        </w:rPr>
        <w:t xml:space="preserve">Commercial Real Estate Developers</w:t>
      </w:r>
      <w:r>
        <w:t xml:space="preserve">: Firms managing Class A office spaces (e.g., Related Companies, Extell Development) needing energy-compliant retrofits to avoid $265/pound carbon penalties under NYC law.</w:t>
      </w:r>
    </w:p>
    <w:p>
      <w:pPr>
        <w:numPr>
          <w:ilvl w:val="0"/>
          <w:numId w:val="1002"/>
        </w:numPr>
        <w:pStyle w:val="Compact"/>
      </w:pPr>
      <w:r>
        <w:rPr>
          <w:bCs/>
          <w:b/>
        </w:rPr>
        <w:t xml:space="preserve">Municipal Infrastructure Managers</w:t>
      </w:r>
      <w:r>
        <w:t xml:space="preserve">: NYC Department of Environmental Protection and MTA engineers requiring expertise for subway HVAC modernization amid heatwave vulnerabilities.</w:t>
      </w:r>
    </w:p>
    <w:p>
      <w:pPr>
        <w:numPr>
          <w:ilvl w:val="0"/>
          <w:numId w:val="1002"/>
        </w:numPr>
        <w:pStyle w:val="Compact"/>
      </w:pPr>
      <w:r>
        <w:rPr>
          <w:bCs/>
          <w:b/>
        </w:rPr>
        <w:t xml:space="preserve">Healthcare Facilities</w:t>
      </w:r>
      <w:r>
        <w:t xml:space="preserve">: Hospitals (e.g., NYU Langone, Mount Sinai) with critical mechanical systems needing 24/7 uptime compliance during extreme weather events.</w:t>
      </w:r>
    </w:p>
    <w:bookmarkEnd w:id="22"/>
    <w:bookmarkStart w:id="23" w:name="marketing-goals-objectives"/>
    <w:p>
      <w:pPr>
        <w:pStyle w:val="Heading2"/>
      </w:pPr>
      <w:r>
        <w:t xml:space="preserve">Marketing Goals &amp; Objectives</w:t>
      </w:r>
    </w:p>
    <w:p>
      <w:pPr>
        <w:pStyle w:val="FirstParagraph"/>
      </w:pPr>
      <w:r>
        <w:t xml:space="preserve">Within 18 months, this Mechanical Engineer service will achieve:</w:t>
      </w:r>
    </w:p>
    <w:p>
      <w:pPr>
        <w:numPr>
          <w:ilvl w:val="0"/>
          <w:numId w:val="1003"/>
        </w:numPr>
        <w:pStyle w:val="Compact"/>
      </w:pPr>
      <w:r>
        <w:t xml:space="preserve">Achieve $650,000 in revenue from New York City clients (35% market penetration in target segments).</w:t>
      </w:r>
    </w:p>
    <w:bookmarkEnd w:id="23"/>
    <w:bookmarkStart w:id="28" w:name="marketing-strategies-tactics"/>
    <w:p>
      <w:pPr>
        <w:pStyle w:val="Heading2"/>
      </w:pPr>
      <w:r>
        <w:t xml:space="preserve">Marketing Strategies &amp; Tactics</w:t>
      </w:r>
    </w:p>
    <w:p>
      <w:pPr>
        <w:pStyle w:val="FirstParagraph"/>
      </w:pPr>
      <w:r>
        <w:t xml:space="preserve">Our strategy integrates hyperlocal NYC knowledge with technical credibility through these pillars:</w:t>
      </w:r>
    </w:p>
    <w:bookmarkStart w:id="24" w:name="hyperlocal-content-marketing"/>
    <w:p>
      <w:pPr>
        <w:pStyle w:val="Heading3"/>
      </w:pPr>
      <w:r>
        <w:t xml:space="preserve">1. Hyperlocal Content Marketing</w:t>
      </w:r>
    </w:p>
    <w:p>
      <w:pPr>
        <w:pStyle w:val="FirstParagraph"/>
      </w:pPr>
      <w:r>
        <w:t xml:space="preserve">Create "NYC Mechanical Engineering Briefings" – monthly reports analyzing city-specific issues (e.g., "HVAC Strategies for 19th-Century Brownstone Conversions"). Published via LinkedIn and NYC Building Congress email newsletters. Example: A case study showing how a Brooklyn mixed-use project reduced energy costs by 28% through tailored heat-recovery systems compliant with Local Law 97.</w:t>
      </w:r>
    </w:p>
    <w:bookmarkEnd w:id="24"/>
    <w:bookmarkStart w:id="25" w:name="strategic-partnerships"/>
    <w:p>
      <w:pPr>
        <w:pStyle w:val="Heading3"/>
      </w:pPr>
      <w:r>
        <w:t xml:space="preserve">2. Strategic Partnerships</w:t>
      </w:r>
    </w:p>
    <w:p>
      <w:pPr>
        <w:pStyle w:val="FirstParagraph"/>
      </w:pPr>
      <w:r>
        <w:t xml:space="preserve">Forge alliances with NYC powerhouses:</w:t>
      </w:r>
    </w:p>
    <w:p>
      <w:pPr>
        <w:numPr>
          <w:ilvl w:val="0"/>
          <w:numId w:val="1004"/>
        </w:numPr>
        <w:pStyle w:val="Compact"/>
      </w:pPr>
      <w:r>
        <w:rPr>
          <w:bCs/>
          <w:b/>
        </w:rPr>
        <w:t xml:space="preserve">NYC Energy Efficiency Alliance</w:t>
      </w:r>
      <w:r>
        <w:t xml:space="preserve">: Co-host workshops on "Meeting Local Law 97 in Historic Buildings" at the Brooklyn Navy Yard.</w:t>
      </w:r>
    </w:p>
    <w:p>
      <w:pPr>
        <w:numPr>
          <w:ilvl w:val="0"/>
          <w:numId w:val="1004"/>
        </w:numPr>
        <w:pStyle w:val="Compact"/>
      </w:pPr>
      <w:r>
        <w:rPr>
          <w:bCs/>
          <w:b/>
        </w:rPr>
        <w:t xml:space="preserve">Architectural Digest NYC Network</w:t>
      </w:r>
      <w:r>
        <w:t xml:space="preserve">: Feature engineering solutions in premium residential projects (e.g., Hudson Yards developments).</w:t>
      </w:r>
    </w:p>
    <w:p>
      <w:pPr>
        <w:numPr>
          <w:ilvl w:val="0"/>
          <w:numId w:val="1004"/>
        </w:numPr>
        <w:pStyle w:val="Compact"/>
      </w:pPr>
      <w:r>
        <w:rPr>
          <w:bCs/>
          <w:b/>
        </w:rPr>
        <w:t xml:space="preserve">CUNY Engineering Departments</w:t>
      </w:r>
      <w:r>
        <w:t xml:space="preserve">: Sponsor capstone projects on "NYC Subway System Energy Optimization."</w:t>
      </w:r>
    </w:p>
    <w:bookmarkEnd w:id="25"/>
    <w:bookmarkStart w:id="26" w:name="digital-targeting-for-nyc-professionals"/>
    <w:p>
      <w:pPr>
        <w:pStyle w:val="Heading3"/>
      </w:pPr>
      <w:r>
        <w:t xml:space="preserve">3. Digital Targeting for NYC Professionals</w:t>
      </w:r>
    </w:p>
    <w:p>
      <w:pPr>
        <w:pStyle w:val="FirstParagraph"/>
      </w:pPr>
      <w:r>
        <w:t xml:space="preserve">Leverage LinkedIn advertising with geo-filters targeting:</w:t>
      </w:r>
    </w:p>
    <w:p>
      <w:pPr>
        <w:numPr>
          <w:ilvl w:val="0"/>
          <w:numId w:val="1005"/>
        </w:numPr>
        <w:pStyle w:val="Compact"/>
      </w:pPr>
      <w:r>
        <w:t xml:space="preserve">Job titles: "Facilities Director" (2,800 in NYC), "Senior Mechanical Engineer" (1,950) at firms like Skidmore Owings &amp; Merrill.</w:t>
      </w:r>
    </w:p>
    <w:p>
      <w:pPr>
        <w:numPr>
          <w:ilvl w:val="0"/>
          <w:numId w:val="1005"/>
        </w:numPr>
        <w:pStyle w:val="Compact"/>
      </w:pPr>
      <w:r>
        <w:t xml:space="preserve">Interest clusters: "NYC Local Law 97," "LEED AP," and location-based keywords ("Mechanical engineer near Times Square").</w:t>
      </w:r>
    </w:p>
    <w:bookmarkEnd w:id="26"/>
    <w:bookmarkStart w:id="27" w:name="X69ae3ed68c6e553bdf9e6f41de17131e5531c18"/>
    <w:p>
      <w:pPr>
        <w:pStyle w:val="Heading3"/>
      </w:pPr>
      <w:r>
        <w:t xml:space="preserve">4. Community Engagement in the United States Context</w:t>
      </w:r>
    </w:p>
    <w:p>
      <w:pPr>
        <w:pStyle w:val="FirstParagraph"/>
      </w:pPr>
      <w:r>
        <w:t xml:space="preserve">Deploy a physical presence in key NYC hubs:</w:t>
      </w:r>
    </w:p>
    <w:p>
      <w:pPr>
        <w:numPr>
          <w:ilvl w:val="0"/>
          <w:numId w:val="1006"/>
        </w:numPr>
        <w:pStyle w:val="Compact"/>
      </w:pPr>
      <w:r>
        <w:t xml:space="preserve">Host quarterly "NYC Mechanical Roundtables" at WeWork locations (e.g., Flatiron District) discussing climate adaptation.</w:t>
      </w:r>
    </w:p>
    <w:p>
      <w:pPr>
        <w:numPr>
          <w:ilvl w:val="0"/>
          <w:numId w:val="1006"/>
        </w:numPr>
        <w:pStyle w:val="Compact"/>
      </w:pPr>
      <w:r>
        <w:t xml:space="preserve">Sponsor STEM programs at Brooklyn Public Library's MakerSpace to build future client relationships.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Creation (Case Studies, Reports)</w:t>
            </w:r>
          </w:p>
        </w:tc>
        <w:tc>
          <w:tcPr/>
          <w:p>
            <w:pPr>
              <w:pStyle w:val="Compact"/>
              <w:jc w:val="left"/>
            </w:pPr>
            <w:r>
              <w:t xml:space="preserve">$18,500</w:t>
            </w:r>
          </w:p>
        </w:tc>
        <w:tc>
          <w:tcPr/>
          <w:p>
            <w:pPr>
              <w:pStyle w:val="Compact"/>
              <w:jc w:val="left"/>
            </w:pPr>
            <w:r>
              <w:t xml:space="preserve">NYC-specific technical content for lead generation.</w:t>
            </w:r>
          </w:p>
        </w:tc>
      </w:tr>
      <w:tr>
        <w:tc>
          <w:tcPr/>
          <w:p>
            <w:pPr>
              <w:pStyle w:val="Compact"/>
              <w:jc w:val="left"/>
            </w:pPr>
            <w:r>
              <w:t xml:space="preserve">Strategic Partnerships &amp; Events</w:t>
            </w:r>
          </w:p>
        </w:tc>
        <w:tc>
          <w:tcPr/>
          <w:p>
            <w:pPr>
              <w:pStyle w:val="Compact"/>
              <w:jc w:val="left"/>
            </w:pPr>
            <w:r>
              <w:t xml:space="preserve">$24,300</w:t>
            </w:r>
          </w:p>
        </w:tc>
        <w:tc>
          <w:tcPr/>
          <w:p>
            <w:pPr>
              <w:pStyle w:val="Compact"/>
              <w:jc w:val="left"/>
            </w:pPr>
            <w:r>
              <w:t xml:space="preserve">Co-hosted workshops with NYC organizations.</w:t>
            </w:r>
          </w:p>
        </w:tc>
      </w:tr>
      <w:tr>
        <w:tc>
          <w:tcPr/>
          <w:p>
            <w:pPr>
              <w:pStyle w:val="Compact"/>
              <w:jc w:val="left"/>
            </w:pPr>
            <w:r>
              <w:t xml:space="preserve">Digital Advertising (LinkedIn, Google)</w:t>
            </w:r>
          </w:p>
        </w:tc>
        <w:tc>
          <w:tcPr/>
          <w:p>
            <w:pPr>
              <w:pStyle w:val="Compact"/>
              <w:jc w:val="left"/>
            </w:pPr>
            <w:r>
              <w:t xml:space="preserve">$15,200</w:t>
            </w:r>
          </w:p>
        </w:tc>
        <w:tc>
          <w:tcPr/>
          <w:p>
            <w:pPr>
              <w:pStyle w:val="Compact"/>
              <w:jc w:val="left"/>
            </w:pPr>
            <w:r>
              <w:t xml:space="preserve">Geo-targeted campaigns for NYC engineering decision-makers.</w:t>
            </w:r>
          </w:p>
        </w:tc>
      </w:tr>
      <w:tr>
        <w:tc>
          <w:tcPr/>
          <w:p>
            <w:pPr>
              <w:pStyle w:val="Compact"/>
              <w:jc w:val="left"/>
            </w:pPr>
            <w:r>
              <w:t xml:space="preserve">Community Sponsorships</w:t>
            </w:r>
          </w:p>
        </w:tc>
        <w:tc>
          <w:tcPr/>
          <w:p>
            <w:pPr>
              <w:pStyle w:val="Compact"/>
              <w:jc w:val="left"/>
            </w:pPr>
            <w:r>
              <w:t xml:space="preserve">$7,800</w:t>
            </w:r>
          </w:p>
        </w:tc>
        <w:tc>
          <w:tcPr/>
          <w:p>
            <w:pPr>
              <w:pStyle w:val="Compact"/>
              <w:jc w:val="left"/>
            </w:pPr>
            <w:r>
              <w:t xml:space="preserve">STEM programs and local industry events.</w:t>
            </w:r>
          </w:p>
        </w:tc>
      </w:tr>
      <w:tr>
        <w:tc>
          <w:tcPr/>
          <w:p>
            <w:pPr>
              <w:pStyle w:val="Compact"/>
              <w:jc w:val="left"/>
            </w:pPr>
            <w:r>
              <w:t xml:space="preserve">Total Budget</w:t>
            </w:r>
          </w:p>
        </w:tc>
        <w:tc>
          <w:tcPr/>
          <w:p>
            <w:pPr>
              <w:pStyle w:val="Compact"/>
              <w:jc w:val="left"/>
            </w:pPr>
            <w:r>
              <w:t xml:space="preserve">$65,800 (12% of Year 1 Revenue Target)</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NYC content library and secure first two strategic partnerships (NYC Energy Efficiency Alliance + CUNY).</w:t>
      </w:r>
    </w:p>
    <w:p>
      <w:pPr>
        <w:pStyle w:val="BodyText"/>
      </w:pPr>
      <w:r>
        <w:rPr>
          <w:bCs/>
          <w:b/>
        </w:rPr>
        <w:t xml:space="preserve">Months 4-6:</w:t>
      </w:r>
      <w:r>
        <w:t xml:space="preserve"> </w:t>
      </w:r>
      <w:r>
        <w:t xml:space="preserve">Launch digital campaign; host inaugural NYC Mechanical Roundtable at Brooklyn Navy Yard.</w:t>
      </w:r>
    </w:p>
    <w:p>
      <w:pPr>
        <w:pStyle w:val="BodyText"/>
      </w:pPr>
      <w:r>
        <w:rPr>
          <w:bCs/>
          <w:b/>
        </w:rPr>
        <w:t xml:space="preserve">Months 7-12:</w:t>
      </w:r>
      <w:r>
        <w:t xml:space="preserve"> </w:t>
      </w:r>
      <w:r>
        <w:t xml:space="preserve">Publish 5 case studies on Local Law 97 compliance; achieve $300,000 revenue milestone.</w:t>
      </w:r>
    </w:p>
    <w:p>
      <w:pPr>
        <w:pStyle w:val="BodyText"/>
      </w:pPr>
      <w:r>
        <w:rPr>
          <w:bCs/>
          <w:b/>
        </w:rPr>
        <w:t xml:space="preserve">Months 13-18:</w:t>
      </w:r>
      <w:r>
        <w:t xml:space="preserve"> </w:t>
      </w:r>
      <w:r>
        <w:t xml:space="preserve">Expand to municipal contracts (MTA infrastructure projects); target $650,000 revenue goal.</w:t>
      </w:r>
    </w:p>
    <w:bookmarkEnd w:id="30"/>
    <w:bookmarkStart w:id="31" w:name="measurement-evaluation"/>
    <w:p>
      <w:pPr>
        <w:pStyle w:val="Heading2"/>
      </w:pPr>
      <w:r>
        <w:t xml:space="preserve">Measurement &amp; Evaluation</w:t>
      </w:r>
    </w:p>
    <w:p>
      <w:pPr>
        <w:pStyle w:val="FirstParagraph"/>
      </w:pPr>
      <w:r>
        <w:t xml:space="preserve">KPIs are tracked through NYC-specific metrics:</w:t>
      </w:r>
    </w:p>
    <w:p>
      <w:pPr>
        <w:numPr>
          <w:ilvl w:val="0"/>
          <w:numId w:val="1007"/>
        </w:numPr>
        <w:pStyle w:val="Compact"/>
      </w:pPr>
      <w:r>
        <w:rPr>
          <w:bCs/>
          <w:b/>
        </w:rPr>
        <w:t xml:space="preserve">Lead Quality:</w:t>
      </w:r>
      <w:r>
        <w:t xml:space="preserve"> </w:t>
      </w:r>
      <w:r>
        <w:t xml:space="preserve">75% of leads must be from target NYC segments (verified via LinkedIn sales navigator).</w:t>
      </w:r>
    </w:p>
    <w:p>
      <w:pPr>
        <w:numPr>
          <w:ilvl w:val="0"/>
          <w:numId w:val="1007"/>
        </w:numPr>
        <w:pStyle w:val="Compact"/>
      </w:pPr>
      <w:r>
        <w:rPr>
          <w:bCs/>
          <w:b/>
        </w:rPr>
        <w:t xml:space="preserve">Conversion Rate:</w:t>
      </w:r>
      <w:r>
        <w:t xml:space="preserve"> </w:t>
      </w:r>
      <w:r>
        <w:t xml:space="preserve">Target 20% for service proposals to contracts (vs. industry average of 14%).</w:t>
      </w:r>
    </w:p>
    <w:p>
      <w:pPr>
        <w:numPr>
          <w:ilvl w:val="0"/>
          <w:numId w:val="1007"/>
        </w:numPr>
        <w:pStyle w:val="Compact"/>
      </w:pPr>
      <w:r>
        <w:rPr>
          <w:bCs/>
          <w:b/>
        </w:rPr>
        <w:t xml:space="preserve">Social Impact:</w:t>
      </w:r>
      <w:r>
        <w:t xml:space="preserve"> </w:t>
      </w:r>
      <w:r>
        <w:t xml:space="preserve">Track mentions in NYC-focused publications (e.g., Crain's New York Business, City Lab).</w:t>
      </w:r>
    </w:p>
    <w:p>
      <w:pPr>
        <w:numPr>
          <w:ilvl w:val="0"/>
          <w:numId w:val="1007"/>
        </w:numPr>
        <w:pStyle w:val="Compact"/>
      </w:pPr>
      <w:r>
        <w:rPr>
          <w:bCs/>
          <w:b/>
        </w:rPr>
        <w:t xml:space="preserve">Client Retention:</w:t>
      </w:r>
      <w:r>
        <w:t xml:space="preserve"> </w:t>
      </w:r>
      <w:r>
        <w:t xml:space="preserve">Quarterly surveys measuring satisfaction with NYC-specific service delivery.</w:t>
      </w:r>
    </w:p>
    <w:bookmarkEnd w:id="31"/>
    <w:bookmarkStart w:id="32" w:name="conclusion"/>
    <w:p>
      <w:pPr>
        <w:pStyle w:val="Heading2"/>
      </w:pPr>
      <w:r>
        <w:t xml:space="preserve">Conclusion</w:t>
      </w:r>
    </w:p>
    <w:p>
      <w:pPr>
        <w:pStyle w:val="FirstParagraph"/>
      </w:pPr>
      <w:r>
        <w:t xml:space="preserve">This Marketing Plan positions a Mechanical Engineer not merely as a service provider but as a strategic partner essential to navigating New York City's unique regulatory and environmental demands within the United States. By embedding our expertise in NYC's infrastructure challenges—from Local Law 97 compliance to historic building retrofits—we transform engineering from an operational cost into a competitive advantage for clients. The plan’s hyperlocal focus ensures every tactic resonates with the city’s urgency, making this Mechanical Engineer service indispensable to New York City’s next phase of sustainable growth. As NYC accelerates its climate goals, this strategy ensures our engineering excellence becomes synonymous with resilience in the heart of America's most dynamic urban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New York City, United States</dc:title>
  <dc:creator/>
  <dc:language>en</dc:language>
  <cp:keywords/>
  <dcterms:created xsi:type="dcterms:W3CDTF">2026-07-24T08:54:47Z</dcterms:created>
  <dcterms:modified xsi:type="dcterms:W3CDTF">2026-07-24T08:54:47Z</dcterms:modified>
</cp:coreProperties>
</file>

<file path=docProps/custom.xml><?xml version="1.0" encoding="utf-8"?>
<Properties xmlns="http://schemas.openxmlformats.org/officeDocument/2006/custom-properties" xmlns:vt="http://schemas.openxmlformats.org/officeDocument/2006/docPropsVTypes"/>
</file>