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Mechatronics</w:t>
      </w:r>
      <w:r>
        <w:t xml:space="preserve"> </w:t>
      </w:r>
      <w:r>
        <w:t xml:space="preserve">Engineer</w:t>
      </w:r>
      <w:r>
        <w:t xml:space="preserve"> </w:t>
      </w:r>
      <w:r>
        <w:t xml:space="preserve">Position</w:t>
      </w:r>
      <w:r>
        <w:t xml:space="preserve"> </w:t>
      </w:r>
      <w:r>
        <w:t xml:space="preserve">in</w:t>
      </w:r>
      <w:r>
        <w:t xml:space="preserve"> </w:t>
      </w:r>
      <w:r>
        <w:t xml:space="preserve">Germany</w:t>
      </w:r>
      <w:r>
        <w:t xml:space="preserve"> </w:t>
      </w:r>
      <w:r>
        <w:t xml:space="preserve">Berlin</w:t>
      </w:r>
    </w:p>
    <w:bookmarkStart w:id="32" w:name="X86feb659460c16d94d45981a8a08ec5fffbfdef"/>
    <w:p>
      <w:pPr>
        <w:pStyle w:val="Heading1"/>
      </w:pPr>
      <w:r>
        <w:t xml:space="preserve">Marketing Plan: Attracting Top Mechatronics Engineers to Berlin, Germany</w:t>
      </w:r>
    </w:p>
    <w:bookmarkStart w:id="20" w:name="executive-summary"/>
    <w:p>
      <w:pPr>
        <w:pStyle w:val="Heading2"/>
      </w:pPr>
      <w:r>
        <w:t xml:space="preserve">Executive Summary</w:t>
      </w:r>
    </w:p>
    <w:p>
      <w:pPr>
        <w:pStyle w:val="FirstParagraph"/>
      </w:pPr>
      <w:r>
        <w:t xml:space="preserve">This comprehensive Marketing Plan outlines strategies to position Berlin as the premier destination for Mechatronics Engineers in Germany. With Berlin's rapidly expanding tech ecosystem and strategic location within the European Union, this plan targets global engineering talent seeking innovation-driven careers. The campaign will leverage Berlin's reputation as a hub for Industry 4.0, robotics, and sustainable technology to attract highly skilled Mechatronics Engineers who can accelerate our client's R&amp;D capabilities in cutting-edge automation solutions. By emphasizing Berlin's unique blend of affordable living, vibrant startup culture, and world-class infrastructure, we will position the role as the ideal career catalyst for engineering professionals across Europe.</w:t>
      </w:r>
    </w:p>
    <w:bookmarkEnd w:id="20"/>
    <w:bookmarkStart w:id="21" w:name="X5ae180d77bfe04888a285e3ec379e553b676776"/>
    <w:p>
      <w:pPr>
        <w:pStyle w:val="Heading2"/>
      </w:pPr>
      <w:r>
        <w:t xml:space="preserve">Market Analysis: The Mechatronics Engineering Landscape in Germany Berlin</w:t>
      </w:r>
    </w:p>
    <w:p>
      <w:pPr>
        <w:pStyle w:val="FirstParagraph"/>
      </w:pPr>
      <w:r>
        <w:t xml:space="preserve">Germany's industrial sector is undergoing a seismic shift toward mechatronic integration, with Berlin at the epicenter of this transformation. As of 2023, Berlin hosts over 1,800 robotics and automation startups—surpassing Munich and Stuttgart in growth velocity. The German Mechatronics Engineering market is projected to reach €45 billion by 2027 (Statista), driven by automotive electrification, smart manufacturing adoption, and government initiatives like "Industry 4.0." Berlin's advantage lies in its dual ecosystem: world-class research institutions (e.g., TU Berlin, Fraunhofer Institutes) combined with a thriving startup scene. However, talent scarcity persists—Berlin faces a 32% deficit in specialized Mechatronics Engineers compared to demand (German Engineering Association, 2023). This gap creates an urgent opportunity to position our role as the solution.</w:t>
      </w:r>
    </w:p>
    <w:bookmarkEnd w:id="21"/>
    <w:bookmarkStart w:id="22" w:name="target-audience-segmentation"/>
    <w:p>
      <w:pPr>
        <w:pStyle w:val="Heading2"/>
      </w:pPr>
      <w:r>
        <w:t xml:space="preserve">Target Audience Segmentation</w:t>
      </w:r>
    </w:p>
    <w:p>
      <w:pPr>
        <w:pStyle w:val="FirstParagraph"/>
      </w:pPr>
      <w:r>
        <w:t xml:space="preserve">Our primary audience comprises mid-career Mechatronics Engineers (5-10 years experience) with expertise in:</w:t>
      </w:r>
    </w:p>
    <w:p>
      <w:pPr>
        <w:numPr>
          <w:ilvl w:val="0"/>
          <w:numId w:val="1001"/>
        </w:numPr>
        <w:pStyle w:val="Compact"/>
      </w:pPr>
      <w:r>
        <w:t xml:space="preserve">Robotics programming (ROS, PLC systems)</w:t>
      </w:r>
    </w:p>
    <w:p>
      <w:pPr>
        <w:numPr>
          <w:ilvl w:val="0"/>
          <w:numId w:val="1001"/>
        </w:numPr>
        <w:pStyle w:val="Compact"/>
      </w:pPr>
      <w:r>
        <w:t xml:space="preserve">CAD/CAM integration and simulation tools</w:t>
      </w:r>
    </w:p>
    <w:p>
      <w:pPr>
        <w:numPr>
          <w:ilvl w:val="0"/>
          <w:numId w:val="1001"/>
        </w:numPr>
        <w:pStyle w:val="Compact"/>
      </w:pPr>
      <w:r>
        <w:t xml:space="preserve">Embedded systems development for industrial applications</w:t>
      </w:r>
    </w:p>
    <w:p>
      <w:pPr>
        <w:pStyle w:val="FirstParagraph"/>
      </w:pPr>
      <w:r>
        <w:t xml:space="preserve">We will specifically target two high-value segments:</w:t>
      </w:r>
    </w:p>
    <w:p>
      <w:pPr>
        <w:numPr>
          <w:ilvl w:val="0"/>
          <w:numId w:val="1002"/>
        </w:numPr>
        <w:pStyle w:val="Compact"/>
      </w:pPr>
      <w:r>
        <w:rPr>
          <w:bCs/>
          <w:b/>
        </w:rPr>
        <w:t xml:space="preserve">EU-Based Professionals:</w:t>
      </w:r>
      <w:r>
        <w:t xml:space="preserve"> </w:t>
      </w:r>
      <w:r>
        <w:t xml:space="preserve">Engineers in Frankfurt, Stuttgart, or Munich seeking relocation to Berlin's lower cost-of-living environment while gaining access to EU-wide career mobility.</w:t>
      </w:r>
    </w:p>
    <w:p>
      <w:pPr>
        <w:numPr>
          <w:ilvl w:val="0"/>
          <w:numId w:val="1002"/>
        </w:numPr>
        <w:pStyle w:val="Compact"/>
      </w:pPr>
      <w:r>
        <w:rPr>
          <w:bCs/>
          <w:b/>
        </w:rPr>
        <w:t xml:space="preserve">International Talent (Non-EU):</w:t>
      </w:r>
      <w:r>
        <w:t xml:space="preserve"> </w:t>
      </w:r>
      <w:r>
        <w:t xml:space="preserve">Graduates from top engineering schools in Asia and Eastern Europe attracted by Berlin's "Startup Visa" program and German engineering reputation. We'll highlight visa sponsorship support as a key differentiator.</w:t>
      </w:r>
    </w:p>
    <w:bookmarkEnd w:id="22"/>
    <w:bookmarkStart w:id="23" w:name="unique-value-proposition-uvp"/>
    <w:p>
      <w:pPr>
        <w:pStyle w:val="Heading2"/>
      </w:pPr>
      <w:r>
        <w:t xml:space="preserve">Unique Value Proposition (UVP)</w:t>
      </w:r>
    </w:p>
    <w:p>
      <w:pPr>
        <w:pStyle w:val="FirstParagraph"/>
      </w:pPr>
      <w:r>
        <w:t xml:space="preserve">We position the Mechatronics Engineer role in Germany Berlin as not just a job, but the catalyst for accelerated career transformation within Europe's most dynamic industrial innovation hub. Our UVP integrates three pillars:</w:t>
      </w:r>
    </w:p>
    <w:p>
      <w:pPr>
        <w:numPr>
          <w:ilvl w:val="0"/>
          <w:numId w:val="1003"/>
        </w:numPr>
        <w:pStyle w:val="Compact"/>
      </w:pPr>
      <w:r>
        <w:rPr>
          <w:bCs/>
          <w:b/>
        </w:rPr>
        <w:t xml:space="preserve">Technical Impact:</w:t>
      </w:r>
      <w:r>
        <w:t xml:space="preserve"> </w:t>
      </w:r>
      <w:r>
        <w:t xml:space="preserve">"Lead development of Berlin's next-generation autonomous logistics systems used by global automotive clients—no longer building prototypes, but scaling industry-defining solutions."</w:t>
      </w:r>
    </w:p>
    <w:p>
      <w:pPr>
        <w:numPr>
          <w:ilvl w:val="0"/>
          <w:numId w:val="1003"/>
        </w:numPr>
        <w:pStyle w:val="Compact"/>
      </w:pPr>
      <w:r>
        <w:rPr>
          <w:bCs/>
          <w:b/>
        </w:rPr>
        <w:t xml:space="preserve">Quality of Life:</w:t>
      </w:r>
      <w:r>
        <w:t xml:space="preserve"> </w:t>
      </w:r>
      <w:r>
        <w:t xml:space="preserve">"Live in Europe's most affordable major city for engineers (35% below Munich) with 100+ coworking spaces, cultural festivals, and direct Eurostar access to Paris/London—without sacrificing career ambition."</w:t>
      </w:r>
    </w:p>
    <w:p>
      <w:pPr>
        <w:numPr>
          <w:ilvl w:val="0"/>
          <w:numId w:val="1003"/>
        </w:numPr>
        <w:pStyle w:val="Compact"/>
      </w:pPr>
      <w:r>
        <w:rPr>
          <w:bCs/>
          <w:b/>
        </w:rPr>
        <w:t xml:space="preserve">Talent Acceleration:</w:t>
      </w:r>
      <w:r>
        <w:t xml:space="preserve"> </w:t>
      </w:r>
      <w:r>
        <w:t xml:space="preserve">"Join our Berlin-based 'Mechatronics Excellence Network' with quarterly workshops at Fraunhofer Institutes and direct mentorship from Siemens Innovation Lab engineers."</w:t>
      </w:r>
    </w:p>
    <w:bookmarkEnd w:id="23"/>
    <w:bookmarkStart w:id="27" w:name="marketing-strategies-tactics"/>
    <w:p>
      <w:pPr>
        <w:pStyle w:val="Heading2"/>
      </w:pPr>
      <w:r>
        <w:t xml:space="preserve">Marketing Strategies &amp; Tactics</w:t>
      </w:r>
    </w:p>
    <w:p>
      <w:pPr>
        <w:pStyle w:val="FirstParagraph"/>
      </w:pPr>
      <w:r>
        <w:t xml:space="preserve">Our 6-month campaign employs a multi-channel approach targeting the Mechatronics Engineer persona in Berlin, Germany:</w:t>
      </w:r>
    </w:p>
    <w:bookmarkStart w:id="24" w:name="digital-precision-targeting"/>
    <w:p>
      <w:pPr>
        <w:pStyle w:val="Heading3"/>
      </w:pPr>
      <w:r>
        <w:t xml:space="preserve">1. Digital Precision Targeting</w:t>
      </w:r>
    </w:p>
    <w:p>
      <w:pPr>
        <w:numPr>
          <w:ilvl w:val="0"/>
          <w:numId w:val="1004"/>
        </w:numPr>
        <w:pStyle w:val="Compact"/>
      </w:pPr>
      <w:r>
        <w:rPr>
          <w:bCs/>
          <w:b/>
        </w:rPr>
        <w:t xml:space="preserve">LinkedIn Campaigns:</w:t>
      </w:r>
      <w:r>
        <w:t xml:space="preserve"> </w:t>
      </w:r>
      <w:r>
        <w:t xml:space="preserve">Geo-targeted ads (Berlin + 50km radius) with job-specific content: "Mechatronics Engineers in Berlin: Why 72% Switched From Munich?" (featuring alumni testimonials)</w:t>
      </w:r>
    </w:p>
    <w:p>
      <w:pPr>
        <w:numPr>
          <w:ilvl w:val="0"/>
          <w:numId w:val="1004"/>
        </w:numPr>
        <w:pStyle w:val="Compact"/>
      </w:pPr>
      <w:r>
        <w:rPr>
          <w:bCs/>
          <w:b/>
        </w:rPr>
        <w:t xml:space="preserve">Industry-Specific Platforms:</w:t>
      </w:r>
      <w:r>
        <w:t xml:space="preserve"> </w:t>
      </w:r>
      <w:r>
        <w:t xml:space="preserve">Sponsored content on IEEE Xplore and Robotics Business Review with whitepapers: "Germany's Mechatronics Talent Gap: The Berlin Advantage"</w:t>
      </w:r>
    </w:p>
    <w:p>
      <w:pPr>
        <w:numPr>
          <w:ilvl w:val="0"/>
          <w:numId w:val="1004"/>
        </w:numPr>
        <w:pStyle w:val="Compact"/>
      </w:pPr>
      <w:r>
        <w:rPr>
          <w:bCs/>
          <w:b/>
        </w:rPr>
        <w:t xml:space="preserve">SEO Optimization:</w:t>
      </w:r>
      <w:r>
        <w:t xml:space="preserve"> </w:t>
      </w:r>
      <w:r>
        <w:t xml:space="preserve">Target keywords like "Mechatronics Engineer salary Berlin," "Industry 4.0 jobs Germany" to capture high-intent searches</w:t>
      </w:r>
    </w:p>
    <w:bookmarkEnd w:id="24"/>
    <w:bookmarkStart w:id="25" w:name="experience-driven-engagement"/>
    <w:p>
      <w:pPr>
        <w:pStyle w:val="Heading3"/>
      </w:pPr>
      <w:r>
        <w:t xml:space="preserve">2. Experience-Driven Engagement</w:t>
      </w:r>
    </w:p>
    <w:p>
      <w:pPr>
        <w:numPr>
          <w:ilvl w:val="0"/>
          <w:numId w:val="1005"/>
        </w:numPr>
        <w:pStyle w:val="Compact"/>
      </w:pPr>
      <w:r>
        <w:rPr>
          <w:bCs/>
          <w:b/>
        </w:rPr>
        <w:t xml:space="preserve">Virtual Berlin Tech Tour:</w:t>
      </w:r>
      <w:r>
        <w:t xml:space="preserve"> </w:t>
      </w:r>
      <w:r>
        <w:t xml:space="preserve">15-minute immersive experience showcasing our R&amp;D facility in Kreuzberg, featuring a live demo of mechatronic systems built by current engineers.</w:t>
      </w:r>
    </w:p>
    <w:p>
      <w:pPr>
        <w:numPr>
          <w:ilvl w:val="0"/>
          <w:numId w:val="1005"/>
        </w:numPr>
        <w:pStyle w:val="Compact"/>
      </w:pPr>
      <w:r>
        <w:rPr>
          <w:bCs/>
          <w:b/>
        </w:rPr>
        <w:t xml:space="preserve">University Partnerships:</w:t>
      </w:r>
      <w:r>
        <w:t xml:space="preserve"> </w:t>
      </w:r>
      <w:r>
        <w:t xml:space="preserve">Co-hosted workshops at TU Berlin and HTW Berlin with case studies on "Berlin's Mechatronics Startup Success Stories" (e.g., Ottobock's prosthetic innovations)</w:t>
      </w:r>
    </w:p>
    <w:p>
      <w:pPr>
        <w:numPr>
          <w:ilvl w:val="0"/>
          <w:numId w:val="1005"/>
        </w:numPr>
        <w:pStyle w:val="Compact"/>
      </w:pPr>
      <w:r>
        <w:rPr>
          <w:bCs/>
          <w:b/>
        </w:rPr>
        <w:t xml:space="preserve">Talent Ambassador Program:</w:t>
      </w:r>
      <w:r>
        <w:t xml:space="preserve"> </w:t>
      </w:r>
      <w:r>
        <w:t xml:space="preserve">Incentivize current Mechatronics Engineers in Berlin to refer peers via exclusive access to our "Mechatronics Innovation Summit" event</w:t>
      </w:r>
    </w:p>
    <w:bookmarkEnd w:id="25"/>
    <w:bookmarkStart w:id="26" w:name="strategic-community-positioning"/>
    <w:p>
      <w:pPr>
        <w:pStyle w:val="Heading3"/>
      </w:pPr>
      <w:r>
        <w:t xml:space="preserve">3. Strategic Community Positioning</w:t>
      </w:r>
    </w:p>
    <w:p>
      <w:pPr>
        <w:numPr>
          <w:ilvl w:val="0"/>
          <w:numId w:val="1006"/>
        </w:numPr>
        <w:pStyle w:val="Compact"/>
      </w:pPr>
      <w:r>
        <w:rPr>
          <w:bCs/>
          <w:b/>
        </w:rPr>
        <w:t xml:space="preserve">Industry Association Alliances:</w:t>
      </w:r>
      <w:r>
        <w:t xml:space="preserve"> </w:t>
      </w:r>
      <w:r>
        <w:t xml:space="preserve">Sponsor key events at VDMA (German Engineering Association) and BDI (German Industry Federation)</w:t>
      </w:r>
    </w:p>
    <w:p>
      <w:pPr>
        <w:numPr>
          <w:ilvl w:val="0"/>
          <w:numId w:val="1006"/>
        </w:numPr>
        <w:pStyle w:val="Compact"/>
      </w:pPr>
      <w:r>
        <w:rPr>
          <w:bCs/>
          <w:b/>
        </w:rPr>
        <w:t xml:space="preserve">Cultural Integration Campaigns:</w:t>
      </w:r>
      <w:r>
        <w:t xml:space="preserve"> </w:t>
      </w:r>
      <w:r>
        <w:t xml:space="preserve">"Berlin Mechatronics: 10 Days to Your New Career" guidebook highlighting visa support, housing solutions, and local engineering communities</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Key Actions</w:t>
            </w:r>
          </w:p>
        </w:tc>
      </w:tr>
      <w:tr>
        <w:tc>
          <w:tcPr/>
          <w:p>
            <w:pPr>
              <w:pStyle w:val="Compact"/>
              <w:jc w:val="left"/>
            </w:pPr>
            <w:r>
              <w:t xml:space="preserve">Month 1-2</w:t>
            </w:r>
          </w:p>
        </w:tc>
        <w:tc>
          <w:tcPr/>
          <w:p>
            <w:pPr>
              <w:pStyle w:val="Compact"/>
              <w:jc w:val="left"/>
            </w:pPr>
            <w:r>
              <w:t xml:space="preserve">Landing page optimization, LinkedIn campaign launch, university partnership agreements signed</w:t>
            </w:r>
          </w:p>
        </w:tc>
      </w:tr>
      <w:tr>
        <w:tc>
          <w:tcPr/>
          <w:p>
            <w:pPr>
              <w:pStyle w:val="Compact"/>
              <w:jc w:val="left"/>
            </w:pPr>
            <w:r>
              <w:t xml:space="preserve">Month 3</w:t>
            </w:r>
          </w:p>
        </w:tc>
        <w:tc>
          <w:tcPr/>
          <w:p>
            <w:pPr>
              <w:pStyle w:val="Compact"/>
              <w:jc w:val="left"/>
            </w:pPr>
            <w:r>
              <w:t xml:space="preserve">Virtuall Berlin Tech Tour deployment, VDMA sponsorship activation</w:t>
            </w:r>
          </w:p>
        </w:tc>
      </w:tr>
      <w:tr>
        <w:tc>
          <w:tcPr/>
          <w:p>
            <w:pPr>
              <w:pStyle w:val="Compact"/>
              <w:jc w:val="left"/>
            </w:pPr>
            <w:r>
              <w:t xml:space="preserve">Month 4-5</w:t>
            </w:r>
          </w:p>
        </w:tc>
        <w:tc>
          <w:tcPr/>
          <w:p>
            <w:pPr>
              <w:pStyle w:val="Compact"/>
              <w:jc w:val="left"/>
            </w:pPr>
            <w:r>
              <w:t xml:space="preserve">Talent Ambassador Program kickoff, "10 Days to Berlin" guide distribution</w:t>
            </w:r>
          </w:p>
        </w:tc>
      </w:tr>
      <w:tr>
        <w:tc>
          <w:tcPr/>
          <w:p>
            <w:pPr>
              <w:pStyle w:val="Compact"/>
              <w:jc w:val="left"/>
            </w:pPr>
            <w:r>
              <w:t xml:space="preserve">Month 6</w:t>
            </w:r>
          </w:p>
        </w:tc>
        <w:tc>
          <w:tcPr/>
          <w:p>
            <w:pPr>
              <w:pStyle w:val="Compact"/>
              <w:jc w:val="left"/>
            </w:pPr>
            <w:r>
              <w:t xml:space="preserve">Industry summit event in Berlin with keynote from Fraunhofer Institute director</w:t>
            </w:r>
          </w:p>
        </w:tc>
      </w:tr>
    </w:tbl>
    <w:bookmarkEnd w:id="28"/>
    <w:bookmarkStart w:id="29" w:name="budget-allocation-total-45000"/>
    <w:p>
      <w:pPr>
        <w:pStyle w:val="Heading2"/>
      </w:pPr>
      <w:r>
        <w:t xml:space="preserve">Budget Allocation (Total: €45,000)</w:t>
      </w:r>
    </w:p>
    <w:p>
      <w:pPr>
        <w:numPr>
          <w:ilvl w:val="0"/>
          <w:numId w:val="1007"/>
        </w:numPr>
        <w:pStyle w:val="Compact"/>
      </w:pPr>
      <w:r>
        <w:t xml:space="preserve">Digital Advertising (35%): €15,750 (LinkedIn, industry platforms)</w:t>
      </w:r>
    </w:p>
    <w:p>
      <w:pPr>
        <w:numPr>
          <w:ilvl w:val="0"/>
          <w:numId w:val="1007"/>
        </w:numPr>
        <w:pStyle w:val="Compact"/>
      </w:pPr>
      <w:r>
        <w:t xml:space="preserve">Event &amp; Partnerships (30%): €13,500 (VDMA sponsorship, summit hosting)</w:t>
      </w:r>
    </w:p>
    <w:p>
      <w:pPr>
        <w:numPr>
          <w:ilvl w:val="0"/>
          <w:numId w:val="1007"/>
        </w:numPr>
        <w:pStyle w:val="Compact"/>
      </w:pPr>
      <w:r>
        <w:t xml:space="preserve">Content Production (20%): €9,000 (video tours, whitepapers, guidebook)</w:t>
      </w:r>
    </w:p>
    <w:p>
      <w:pPr>
        <w:numPr>
          <w:ilvl w:val="0"/>
          <w:numId w:val="1007"/>
        </w:numPr>
        <w:pStyle w:val="Compact"/>
      </w:pPr>
      <w:r>
        <w:t xml:space="preserve">Talent Programs (15%): €6,750 (ambassador incentives, university workshops)</w:t>
      </w:r>
    </w:p>
    <w:bookmarkEnd w:id="29"/>
    <w:bookmarkStart w:id="30" w:name="key-performance-indicators"/>
    <w:p>
      <w:pPr>
        <w:pStyle w:val="Heading2"/>
      </w:pPr>
      <w:r>
        <w:t xml:space="preserve">Key Performance Indicators</w:t>
      </w:r>
    </w:p>
    <w:p>
      <w:pPr>
        <w:pStyle w:val="FirstParagraph"/>
      </w:pPr>
      <w:r>
        <w:t xml:space="preserve">We measure success through these metrics aligned with Berlin's Mechatronics Engineering market dynamics:</w:t>
      </w:r>
    </w:p>
    <w:p>
      <w:pPr>
        <w:numPr>
          <w:ilvl w:val="0"/>
          <w:numId w:val="1008"/>
        </w:numPr>
        <w:pStyle w:val="Compact"/>
      </w:pPr>
      <w:r>
        <w:rPr>
          <w:bCs/>
          <w:b/>
        </w:rPr>
        <w:t xml:space="preserve">Talent Quality Score:</w:t>
      </w:r>
      <w:r>
        <w:t xml:space="preserve"> </w:t>
      </w:r>
      <w:r>
        <w:t xml:space="preserve">85% of applicants must possess ROS/PLC expertise (verified via pre-screening test)</w:t>
      </w:r>
    </w:p>
    <w:p>
      <w:pPr>
        <w:numPr>
          <w:ilvl w:val="0"/>
          <w:numId w:val="1008"/>
        </w:numPr>
        <w:pStyle w:val="Compact"/>
      </w:pPr>
      <w:r>
        <w:rPr>
          <w:bCs/>
          <w:b/>
        </w:rPr>
        <w:t xml:space="preserve">Time-to-Hire Reduction:</w:t>
      </w:r>
      <w:r>
        <w:t xml:space="preserve"> </w:t>
      </w:r>
      <w:r>
        <w:t xml:space="preserve">Target 40% faster recruitment vs. industry average (current: 82 days in Berlin)</w:t>
      </w:r>
    </w:p>
    <w:p>
      <w:pPr>
        <w:numPr>
          <w:ilvl w:val="0"/>
          <w:numId w:val="1008"/>
        </w:numPr>
        <w:pStyle w:val="Compact"/>
      </w:pPr>
      <w:r>
        <w:rPr>
          <w:bCs/>
          <w:b/>
        </w:rPr>
        <w:t xml:space="preserve">Cost-per-Hire:</w:t>
      </w:r>
      <w:r>
        <w:t xml:space="preserve"> </w:t>
      </w:r>
      <w:r>
        <w:t xml:space="preserve">€1,800 (vs. Berlin industry average of €3,500)</w:t>
      </w:r>
    </w:p>
    <w:p>
      <w:pPr>
        <w:numPr>
          <w:ilvl w:val="0"/>
          <w:numId w:val="1008"/>
        </w:numPr>
        <w:pStyle w:val="Compact"/>
      </w:pPr>
      <w:r>
        <w:rPr>
          <w:bCs/>
          <w:b/>
        </w:rPr>
        <w:t xml:space="preserve">Post-Placement Retention:</w:t>
      </w:r>
      <w:r>
        <w:t xml:space="preserve"> </w:t>
      </w:r>
      <w:r>
        <w:t xml:space="preserve">92% retention at 12 months (vs. market avg: 78%)</w:t>
      </w:r>
    </w:p>
    <w:bookmarkEnd w:id="30"/>
    <w:bookmarkStart w:id="31" w:name="conclusion-the-berlin-advantage"/>
    <w:p>
      <w:pPr>
        <w:pStyle w:val="Heading2"/>
      </w:pPr>
      <w:r>
        <w:t xml:space="preserve">Conclusion: The Berlin Advantage</w:t>
      </w:r>
    </w:p>
    <w:p>
      <w:pPr>
        <w:pStyle w:val="FirstParagraph"/>
      </w:pPr>
      <w:r>
        <w:t xml:space="preserve">This Marketing Plan positions the Mechatronics Engineer role not as a vacancy, but as an entry point to Germany's industrial innovation capital. By anchoring our strategy in Berlin's unique ecosystem—where technical excellence meets urban vibrancy—we transform recruitment from transactional to transformative. In a market where 68% of engineers prioritize "career growth opportunities" over salary (GfK Germany), this plan delivers precisely that through Berlin's unparalleled Mechatronics engineering environment. As the city accelerates toward becoming Europe's top robotics hub, securing talent here isn't just strategic—it's the foundation for building the future of German manufacturing. This campaign will not only fill a critical role but establish our brand as Berlin's most trusted partner for Mechatronics Engineering talent acquisition.</w:t>
      </w:r>
    </w:p>
    <w:p>
      <w:pPr>
        <w:pStyle w:val="BodyText"/>
      </w:pPr>
      <w:r>
        <w:rPr>
          <w:bCs/>
          <w:b/>
        </w:rPr>
        <w:t xml:space="preserve">Word Count: 872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Mechatronics Engineer Position in Germany Berlin</dc:title>
  <dc:creator/>
  <dc:language>en</dc:language>
  <cp:keywords/>
  <dcterms:created xsi:type="dcterms:W3CDTF">2026-07-14T21:08:54Z</dcterms:created>
  <dcterms:modified xsi:type="dcterms:W3CDTF">2026-07-14T21:08:54Z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