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Recruitment</w:t>
      </w:r>
      <w:r>
        <w:t xml:space="preserve"> </w:t>
      </w:r>
      <w:r>
        <w:t xml:space="preserve">in</w:t>
      </w:r>
      <w:r>
        <w:t xml:space="preserve"> </w:t>
      </w:r>
      <w:r>
        <w:t xml:space="preserve">Iraq</w:t>
      </w:r>
      <w:r>
        <w:t xml:space="preserve"> </w:t>
      </w:r>
      <w:r>
        <w:t xml:space="preserve">Baghdad</w:t>
      </w:r>
    </w:p>
    <w:bookmarkStart w:id="33" w:name="X552a367ef239903969384f5793df58f1b422db6"/>
    <w:p>
      <w:pPr>
        <w:pStyle w:val="Heading1"/>
      </w:pPr>
      <w:r>
        <w:t xml:space="preserve">Comprehensive Marketing Plan: Attracting Top Mechatronics Engineers to Iraq Baghdad</w:t>
      </w:r>
    </w:p>
    <w:bookmarkStart w:id="20" w:name="executive-summary"/>
    <w:p>
      <w:pPr>
        <w:pStyle w:val="Heading2"/>
      </w:pPr>
      <w:r>
        <w:t xml:space="preserve">Executive Summary</w:t>
      </w:r>
    </w:p>
    <w:p>
      <w:pPr>
        <w:pStyle w:val="FirstParagraph"/>
      </w:pPr>
      <w:r>
        <w:t xml:space="preserve">This strategic Marketing Plan outlines a targeted approach to recruit and retain skilled Mechatronics Engineers in Baghdad, Iraq. As Iraq's industrial sector undergoes critical modernization, the demand for specialized engineers bridging mechanical, electrical, and computing systems has surged. This plan addresses the acute talent shortage by positioning Baghdad as an emerging hub for cutting-edge mechatronics innovation. With over 70% of Iraqi manufacturing facilities requiring automation upgrades (World Bank, 2023), securing Mechatronics Engineers is non-negotiable for national economic growth. The proposed strategies will establish Baghdad as a preferred destination for engineering talent through competitive compensation, professional development pathways, and strategic community engagement.</w:t>
      </w:r>
    </w:p>
    <w:bookmarkEnd w:id="20"/>
    <w:bookmarkStart w:id="21" w:name="X4817eac97dac4c73b600ee63e39b6c286a33f87"/>
    <w:p>
      <w:pPr>
        <w:pStyle w:val="Heading2"/>
      </w:pPr>
      <w:r>
        <w:t xml:space="preserve">Situation Analysis: Iraq Baghdad's Mechatronics Landscape</w:t>
      </w:r>
    </w:p>
    <w:p>
      <w:pPr>
        <w:pStyle w:val="FirstParagraph"/>
      </w:pPr>
      <w:r>
        <w:t xml:space="preserve">Iraq Baghdad faces a severe skills gap in advanced engineering fields. Current statistics reveal only 3% of Iraqi engineers hold mechatronics certifications (Ministry of Higher Education, 2023), while industrial automation projects are accelerating at 18% annually (Iraqi Industrial Development Authority). Key challenges include:</w:t>
      </w:r>
      <w:r>
        <w:br/>
      </w:r>
      <w:r>
        <w:t xml:space="preserve">• Outdated educational curricula failing to produce industry-ready Mechatronics Engineers</w:t>
      </w:r>
      <w:r>
        <w:br/>
      </w:r>
      <w:r>
        <w:t xml:space="preserve">• Brain drain of qualified professionals seeking opportunities abroad</w:t>
      </w:r>
      <w:r>
        <w:br/>
      </w:r>
      <w:r>
        <w:t xml:space="preserve">• Limited local training infrastructure for emerging technologies</w:t>
      </w:r>
    </w:p>
    <w:p>
      <w:pPr>
        <w:pStyle w:val="BodyText"/>
      </w:pPr>
      <w:r>
        <w:t xml:space="preserve">Conversely, Baghdad presents unprecedented opportunities: Government initiatives like "Vision 2030" prioritize automation in oil/gas, agriculture, and smart city projects. The city's strategic location positions it as a regional hub for MEA (Middle East &amp; Africa) mechatronics innovation. This Marketing Plan directly addresses these dynamics by creating an employer brand that resonates with both local talent and diaspora engineers.</w:t>
      </w:r>
    </w:p>
    <w:bookmarkEnd w:id="21"/>
    <w:bookmarkStart w:id="22" w:name="target-audience-segmentation"/>
    <w:p>
      <w:pPr>
        <w:pStyle w:val="Heading2"/>
      </w:pPr>
      <w:r>
        <w:t xml:space="preserve">Target Audience Segmentation</w:t>
      </w:r>
    </w:p>
    <w:p>
      <w:pPr>
        <w:pStyle w:val="FirstParagraph"/>
      </w:pPr>
      <w:r>
        <w:t xml:space="preserve">We identify three priority segments for recruitment:</w:t>
      </w:r>
    </w:p>
    <w:p>
      <w:pPr>
        <w:numPr>
          <w:ilvl w:val="0"/>
          <w:numId w:val="1001"/>
        </w:numPr>
        <w:pStyle w:val="Compact"/>
      </w:pPr>
      <w:r>
        <w:rPr>
          <w:bCs/>
          <w:b/>
        </w:rPr>
        <w:t xml:space="preserve">Local Graduates (65%):</w:t>
      </w:r>
      <w:r>
        <w:t xml:space="preserve"> </w:t>
      </w:r>
      <w:r>
        <w:t xml:space="preserve">Engineering students from Baghdad University, Al-Mustansiriya University, and technical institutes. Focus: Competitive entry-level packages + mentorship.</w:t>
      </w:r>
    </w:p>
    <w:p>
      <w:pPr>
        <w:numPr>
          <w:ilvl w:val="0"/>
          <w:numId w:val="1001"/>
        </w:numPr>
        <w:pStyle w:val="Compact"/>
      </w:pPr>
      <w:r>
        <w:rPr>
          <w:bCs/>
          <w:b/>
        </w:rPr>
        <w:t xml:space="preserve">Diaspora Engineers (25%):</w:t>
      </w:r>
      <w:r>
        <w:t xml:space="preserve"> </w:t>
      </w:r>
      <w:r>
        <w:t xml:space="preserve">Iraqi professionals working abroad with mechatronics expertise. Focus: Cultural reconnection + family relocation support.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Achieve 450+ qualified Mechatronics Engineer applications</w:t>
      </w:r>
      <w:r>
        <w:t xml:space="preserve"> </w:t>
      </w:r>
      <w:r>
        <w:t xml:space="preserve">within Year 1 through targeted campaigns</w:t>
      </w:r>
    </w:p>
    <w:p>
      <w:pPr>
        <w:numPr>
          <w:ilvl w:val="0"/>
          <w:numId w:val="1002"/>
        </w:numPr>
        <w:pStyle w:val="Compact"/>
      </w:pPr>
      <w:r>
        <w:rPr>
          <w:bCs/>
          <w:b/>
        </w:rPr>
        <w:t xml:space="preserve">Reduce time-to-hire from 90 to 45 days</w:t>
      </w:r>
      <w:r>
        <w:t xml:space="preserve"> </w:t>
      </w:r>
      <w:r>
        <w:t xml:space="preserve">via streamlined digital recruitment</w:t>
      </w:r>
    </w:p>
    <w:p>
      <w:pPr>
        <w:numPr>
          <w:ilvl w:val="0"/>
          <w:numId w:val="1002"/>
        </w:numPr>
        <w:pStyle w:val="Compact"/>
      </w:pPr>
      <w:r>
        <w:rPr>
          <w:bCs/>
          <w:b/>
        </w:rPr>
        <w:t xml:space="preserve">Secure a talent retention rate of ≥85%</w:t>
      </w:r>
      <w:r>
        <w:t xml:space="preserve"> </w:t>
      </w:r>
      <w:r>
        <w:t xml:space="preserve">through career progression programs</w:t>
      </w:r>
    </w:p>
    <w:p>
      <w:pPr>
        <w:numPr>
          <w:ilvl w:val="0"/>
          <w:numId w:val="1002"/>
        </w:numPr>
        <w:pStyle w:val="Compact"/>
      </w:pPr>
      <w:r>
        <w:rPr>
          <w:bCs/>
          <w:b/>
        </w:rPr>
        <w:t xml:space="preserve">Create Baghdad as Top-3 Preferred City for Mechatronics Engineers in MENA region</w:t>
      </w:r>
    </w:p>
    <w:bookmarkEnd w:id="23"/>
    <w:bookmarkStart w:id="28" w:name="core-marketing-strategies-tactics"/>
    <w:p>
      <w:pPr>
        <w:pStyle w:val="Heading2"/>
      </w:pPr>
      <w:r>
        <w:t xml:space="preserve">Core Marketing Strategies &amp; Tactics</w:t>
      </w:r>
    </w:p>
    <w:bookmarkStart w:id="24" w:name="X1a924b85085d41c9641c93ae6091b56d4ad04a5"/>
    <w:p>
      <w:pPr>
        <w:pStyle w:val="Heading3"/>
      </w:pPr>
      <w:r>
        <w:t xml:space="preserve">1. Employer Branding Campaign: "Baghdad Innovation Catalyst"</w:t>
      </w:r>
    </w:p>
    <w:p>
      <w:pPr>
        <w:pStyle w:val="FirstParagraph"/>
      </w:pPr>
      <w:r>
        <w:t xml:space="preserve">We position Baghdad not as a post-conflict zone but as an engineering frontier. Campaign elements include:</w:t>
      </w:r>
    </w:p>
    <w:p>
      <w:pPr>
        <w:numPr>
          <w:ilvl w:val="0"/>
          <w:numId w:val="1003"/>
        </w:numPr>
        <w:pStyle w:val="Compact"/>
      </w:pPr>
      <w:r>
        <w:rPr>
          <w:bCs/>
          <w:b/>
        </w:rPr>
        <w:t xml:space="preserve">Virtual Campus Tours:</w:t>
      </w:r>
      <w:r>
        <w:t xml:space="preserve"> </w:t>
      </w:r>
      <w:r>
        <w:t xml:space="preserve">Partner with universities to showcase modern labs at Al-Mustansiriya University's new Mechatronics Center (funded by Iraqi Ministry of Science)</w:t>
      </w:r>
    </w:p>
    <w:p>
      <w:pPr>
        <w:numPr>
          <w:ilvl w:val="0"/>
          <w:numId w:val="1003"/>
        </w:numPr>
        <w:pStyle w:val="Compact"/>
      </w:pPr>
      <w:r>
        <w:rPr>
          <w:bCs/>
          <w:b/>
        </w:rPr>
        <w:t xml:space="preserve">Diaspora Ambassador Program:</w:t>
      </w:r>
      <w:r>
        <w:t xml:space="preserve"> </w:t>
      </w:r>
      <w:r>
        <w:t xml:space="preserve">Recruit 50+ successful Iraqi engineers abroad as brand advocates for cultural re-engagement</w:t>
      </w:r>
    </w:p>
    <w:p>
      <w:pPr>
        <w:numPr>
          <w:ilvl w:val="0"/>
          <w:numId w:val="1003"/>
        </w:numPr>
        <w:pStyle w:val="Compact"/>
      </w:pPr>
      <w:r>
        <w:rPr>
          <w:bCs/>
          <w:b/>
        </w:rPr>
        <w:t xml:space="preserve">Video Testimonials:</w:t>
      </w:r>
      <w:r>
        <w:t xml:space="preserve"> </w:t>
      </w:r>
      <w:r>
        <w:t xml:space="preserve">Local engineer success stories in oil refinery automation projects (e.g., "How I Modernized Basra's Water Treatment Plant")</w:t>
      </w:r>
    </w:p>
    <w:bookmarkEnd w:id="24"/>
    <w:bookmarkStart w:id="25" w:name="digital-recruitment-ecosystem"/>
    <w:p>
      <w:pPr>
        <w:pStyle w:val="Heading3"/>
      </w:pPr>
      <w:r>
        <w:t xml:space="preserve">2. Digital Recruitment Ecosystem</w:t>
      </w:r>
    </w:p>
    <w:p>
      <w:pPr>
        <w:pStyle w:val="FirstParagraph"/>
      </w:pPr>
      <w:r>
        <w:t xml:space="preserve">Leveraging Iraq's 74% mobile penetration rate (ITU, 2023):</w:t>
      </w:r>
    </w:p>
    <w:p>
      <w:pPr>
        <w:numPr>
          <w:ilvl w:val="0"/>
          <w:numId w:val="1004"/>
        </w:numPr>
        <w:pStyle w:val="Compact"/>
      </w:pPr>
      <w:r>
        <w:rPr>
          <w:bCs/>
          <w:b/>
        </w:rPr>
        <w:t xml:space="preserve">LinkedIn &amp; Facebook Targeting:</w:t>
      </w:r>
      <w:r>
        <w:t xml:space="preserve"> </w:t>
      </w:r>
      <w:r>
        <w:t xml:space="preserve">Geo-fenced campaigns in Baghdad with job alerts in Arabic/English</w:t>
      </w:r>
    </w:p>
    <w:p>
      <w:pPr>
        <w:numPr>
          <w:ilvl w:val="0"/>
          <w:numId w:val="1004"/>
        </w:numPr>
        <w:pStyle w:val="Compact"/>
      </w:pPr>
      <w:r>
        <w:rPr>
          <w:bCs/>
          <w:b/>
        </w:rPr>
        <w:t xml:space="preserve">WhatsApp Career Hub:</w:t>
      </w:r>
      <w:r>
        <w:t xml:space="preserve"> </w:t>
      </w:r>
      <w:r>
        <w:t xml:space="preserve">Dedicated channel for real-time application support (75% of Iraqi professionals use WhatsApp daily)</w:t>
      </w:r>
    </w:p>
    <w:p>
      <w:pPr>
        <w:numPr>
          <w:ilvl w:val="0"/>
          <w:numId w:val="1004"/>
        </w:numPr>
        <w:pStyle w:val="Compact"/>
      </w:pPr>
      <w:r>
        <w:rPr>
          <w:bCs/>
          <w:b/>
        </w:rPr>
        <w:t xml:space="preserve">National Job Portal Integration:</w:t>
      </w:r>
      <w:r>
        <w:t xml:space="preserve"> </w:t>
      </w:r>
      <w:r>
        <w:t xml:space="preserve">Mandatory listing on Iraq's new government platform "Wadheef" (Ministry of Labor)</w:t>
      </w:r>
    </w:p>
    <w:bookmarkEnd w:id="25"/>
    <w:bookmarkStart w:id="26" w:name="X67a7a4d6761fa7cd4153196001ec5202a8ae1e8"/>
    <w:p>
      <w:pPr>
        <w:pStyle w:val="Heading3"/>
      </w:pPr>
      <w:r>
        <w:t xml:space="preserve">3. Strategic Partnerships for Talent Pipeline</w:t>
      </w:r>
    </w:p>
    <w:p>
      <w:pPr>
        <w:pStyle w:val="FirstParagraph"/>
      </w:pPr>
      <w:r>
        <w:t xml:space="preserve">Building institutional bridges is critical in Iraq Baghdad:</w:t>
      </w:r>
    </w:p>
    <w:p>
      <w:pPr>
        <w:numPr>
          <w:ilvl w:val="0"/>
          <w:numId w:val="1005"/>
        </w:numPr>
        <w:pStyle w:val="Compact"/>
      </w:pPr>
      <w:r>
        <w:rPr>
          <w:bCs/>
          <w:b/>
        </w:rPr>
        <w:t xml:space="preserve">University Collaborations:</w:t>
      </w:r>
      <w:r>
        <w:t xml:space="preserve"> </w:t>
      </w:r>
      <w:r>
        <w:t xml:space="preserve">Co-develop mechatronics curricula with Baghdad University (e.g., Siemens-funded certification tracks)</w:t>
      </w:r>
    </w:p>
    <w:p>
      <w:pPr>
        <w:numPr>
          <w:ilvl w:val="0"/>
          <w:numId w:val="1005"/>
        </w:numPr>
        <w:pStyle w:val="Compact"/>
      </w:pPr>
      <w:r>
        <w:rPr>
          <w:bCs/>
          <w:b/>
        </w:rPr>
        <w:t xml:space="preserve">Industry Alliances:</w:t>
      </w:r>
      <w:r>
        <w:t xml:space="preserve"> </w:t>
      </w:r>
      <w:r>
        <w:t xml:space="preserve">Partner with major employers (e.g., Basra Oil Company, Al-Mansour Electronics) for joint recruitment drives</w:t>
      </w:r>
    </w:p>
    <w:p>
      <w:pPr>
        <w:numPr>
          <w:ilvl w:val="0"/>
          <w:numId w:val="1005"/>
        </w:numPr>
        <w:pStyle w:val="Compact"/>
      </w:pPr>
      <w:r>
        <w:rPr>
          <w:bCs/>
          <w:b/>
        </w:rPr>
        <w:t xml:space="preserve">Government Incentives:</w:t>
      </w:r>
      <w:r>
        <w:t xml:space="preserve"> </w:t>
      </w:r>
      <w:r>
        <w:t xml:space="preserve">Secure tax holidays for companies hiring Mechatronics Engineers under Iraq's 2023 Investment Law</w:t>
      </w:r>
    </w:p>
    <w:bookmarkEnd w:id="26"/>
    <w:bookmarkStart w:id="27" w:name="retention-driven-value-proposition"/>
    <w:p>
      <w:pPr>
        <w:pStyle w:val="Heading3"/>
      </w:pPr>
      <w:r>
        <w:t xml:space="preserve">4. Retention-Driven Value Proposition</w:t>
      </w:r>
    </w:p>
    <w:p>
      <w:pPr>
        <w:pStyle w:val="FirstParagraph"/>
      </w:pPr>
      <w:r>
        <w:t xml:space="preserve">To combat turnover, we emphasize:</w:t>
      </w:r>
    </w:p>
    <w:p>
      <w:pPr>
        <w:numPr>
          <w:ilvl w:val="0"/>
          <w:numId w:val="1006"/>
        </w:numPr>
        <w:pStyle w:val="Compact"/>
      </w:pPr>
      <w:r>
        <w:rPr>
          <w:bCs/>
          <w:b/>
        </w:rPr>
        <w:t xml:space="preserve">Competitive Compensation:</w:t>
      </w:r>
      <w:r>
        <w:t xml:space="preserve"> </w:t>
      </w:r>
      <w:r>
        <w:t xml:space="preserve">Salaries exceeding regional averages (e.g., $55k-$75k vs. MENA avg $42k for mid-level)</w:t>
      </w:r>
    </w:p>
    <w:p>
      <w:pPr>
        <w:numPr>
          <w:ilvl w:val="0"/>
          <w:numId w:val="1006"/>
        </w:numPr>
        <w:pStyle w:val="Compact"/>
      </w:pPr>
      <w:r>
        <w:rPr>
          <w:bCs/>
          <w:b/>
        </w:rPr>
        <w:t xml:space="preserve">Career Acceleration:</w:t>
      </w:r>
      <w:r>
        <w:t xml:space="preserve"> </w:t>
      </w:r>
      <w:r>
        <w:t xml:space="preserve">"Mechatronics Leadership Program" with quarterly international training opportunities</w:t>
      </w:r>
    </w:p>
    <w:p>
      <w:pPr>
        <w:numPr>
          <w:ilvl w:val="0"/>
          <w:numId w:val="1006"/>
        </w:numPr>
        <w:pStyle w:val="Compact"/>
      </w:pPr>
      <w:r>
        <w:rPr>
          <w:bCs/>
          <w:b/>
        </w:rPr>
        <w:t xml:space="preserve">Security Guarantee:</w:t>
      </w:r>
      <w:r>
        <w:t xml:space="preserve"> </w:t>
      </w:r>
      <w:r>
        <w:t xml:space="preserve">Partnering with Baghdad Security Forces for workplace protection (verified via annual safety audits)</w:t>
      </w:r>
    </w:p>
    <w:bookmarkEnd w:id="27"/>
    <w:bookmarkEnd w:id="28"/>
    <w:bookmarkStart w:id="29" w:name="budget-allocation-year-1-285000"/>
    <w:p>
      <w:pPr>
        <w:pStyle w:val="Heading2"/>
      </w:pPr>
      <w:r>
        <w:t xml:space="preserve">Budget Allocation (Year 1: $285,000)</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Campaigns (Social Media, SEO)</w:t>
      </w:r>
    </w:p>
    <w:p>
      <w:pPr>
        <w:pStyle w:val="BodyText"/>
      </w:pPr>
      <w:r>
        <w:t xml:space="preserve">$95,000</w:t>
      </w:r>
    </w:p>
    <w:p>
      <w:pPr>
        <w:pStyle w:val="BodyText"/>
      </w:pPr>
      <w:r>
        <w:t xml:space="preserve">Application volume, CTR rates</w:t>
      </w:r>
    </w:p>
    <w:p>
      <w:pPr>
        <w:pStyle w:val="BodyText"/>
      </w:pPr>
      <w:r>
        <w:t xml:space="preserve">University Partnerships &amp; Events</w:t>
      </w:r>
    </w:p>
    <w:p>
      <w:pPr>
        <w:pStyle w:val="BodyText"/>
      </w:pPr>
      <w:r>
        <w:t xml:space="preserve">$85,000</w:t>
      </w:r>
    </w:p>
    <w:p>
      <w:pPr>
        <w:pStyle w:val="BodyText"/>
      </w:pPr>
      <w:r>
        <w:t xml:space="preserve">Student engagement rate, enrollment conversion</w:t>
      </w:r>
    </w:p>
    <w:p>
      <w:pPr>
        <w:pStyle w:val="BodyText"/>
      </w:pPr>
      <w:r>
        <w:t xml:space="preserve">Diaspora Outreach Program</w:t>
      </w:r>
    </w:p>
    <w:p>
      <w:pPr>
        <w:pStyle w:val="BodyText"/>
      </w:pPr>
      <w:r>
        <w:t xml:space="preserve">$65,000</w:t>
      </w:r>
    </w:p>
    <w:p>
      <w:pPr>
        <w:pStyle w:val="BodyText"/>
      </w:pPr>
      <w:r>
        <w:t xml:space="preserve">Returnee conversion rate</w:t>
      </w:r>
    </w:p>
    <w:p>
      <w:pPr>
        <w:pStyle w:val="BodyText"/>
      </w:pPr>
      <w:r>
        <w:t xml:space="preserve">Retention Programs (Training, Safety)</w:t>
      </w:r>
    </w:p>
    <w:p>
      <w:pPr>
        <w:pStyle w:val="BodyText"/>
      </w:pPr>
      <w:r>
        <w:t xml:space="preserve">$40,000</w:t>
      </w:r>
    </w:p>
    <w:p>
      <w:pPr>
        <w:pStyle w:val="BodyText"/>
      </w:pPr>
      <w:r>
        <w:t xml:space="preserve">Retention rate, promotion velocity</w:t>
      </w:r>
    </w:p>
    <w:bookmarkEnd w:id="29"/>
    <w:bookmarkStart w:id="30" w:name="implementation-timeline-accountability"/>
    <w:p>
      <w:pPr>
        <w:pStyle w:val="Heading2"/>
      </w:pPr>
      <w:r>
        <w:t xml:space="preserve">Implementation Timeline &amp; Accountability</w:t>
      </w:r>
    </w:p>
    <w:p>
      <w:pPr>
        <w:pStyle w:val="FirstParagraph"/>
      </w:pPr>
      <w:r>
        <w:rPr>
          <w:bCs/>
          <w:b/>
        </w:rPr>
        <w:t xml:space="preserve">Months 1-3:</w:t>
      </w:r>
      <w:r>
        <w:t xml:space="preserve"> </w:t>
      </w:r>
      <w:r>
        <w:t xml:space="preserve">Establish university partnerships + launch digital campaign</w:t>
      </w:r>
      <w:r>
        <w:br/>
      </w:r>
      <w:r>
        <w:rPr>
          <w:bCs/>
          <w:b/>
        </w:rPr>
        <w:t xml:space="preserve">Months 4-6:</w:t>
      </w:r>
      <w:r>
        <w:t xml:space="preserve"> </w:t>
      </w:r>
      <w:r>
        <w:t xml:space="preserve">Execute diaspora ambassador program + first career fair in Baghdad University</w:t>
      </w:r>
      <w:r>
        <w:br/>
      </w:r>
      <w:r>
        <w:rPr>
          <w:bCs/>
          <w:b/>
        </w:rPr>
        <w:t xml:space="preserve">Months 7-9:</w:t>
      </w:r>
      <w:r>
        <w:t xml:space="preserve"> </w:t>
      </w:r>
      <w:r>
        <w:t xml:space="preserve">Deploy retention programs + track initial hire performance</w:t>
      </w:r>
      <w:r>
        <w:br/>
      </w:r>
      <w:r>
        <w:rPr>
          <w:bCs/>
          <w:b/>
        </w:rPr>
        <w:t xml:space="preserve">Months 10-12:</w:t>
      </w:r>
      <w:r>
        <w:t xml:space="preserve"> </w:t>
      </w:r>
      <w:r>
        <w:t xml:space="preserve">Analyze metrics → refine for Year 2 scaling</w:t>
      </w:r>
    </w:p>
    <w:bookmarkEnd w:id="30"/>
    <w:bookmarkStart w:id="31" w:name="evaluation-metrics-success-criteria"/>
    <w:p>
      <w:pPr>
        <w:pStyle w:val="Heading2"/>
      </w:pPr>
      <w:r>
        <w:t xml:space="preserve">Evaluation Metrics &amp; Success Criteria</w:t>
      </w:r>
    </w:p>
    <w:p>
      <w:pPr>
        <w:pStyle w:val="FirstParagraph"/>
      </w:pPr>
      <w:r>
        <w:t xml:space="preserve">We measure success through three lenses:</w:t>
      </w:r>
    </w:p>
    <w:p>
      <w:pPr>
        <w:numPr>
          <w:ilvl w:val="0"/>
          <w:numId w:val="1007"/>
        </w:numPr>
        <w:pStyle w:val="Compact"/>
      </w:pPr>
      <w:r>
        <w:rPr>
          <w:bCs/>
          <w:b/>
        </w:rPr>
        <w:t xml:space="preserve">Talent Acquisition:</w:t>
      </w:r>
      <w:r>
        <w:t xml:space="preserve"> </w:t>
      </w:r>
      <w:r>
        <w:t xml:space="preserve">Meeting the 450-application target (95% achieved = successful)</w:t>
      </w:r>
    </w:p>
    <w:p>
      <w:pPr>
        <w:numPr>
          <w:ilvl w:val="0"/>
          <w:numId w:val="1007"/>
        </w:numPr>
        <w:pStyle w:val="Compact"/>
      </w:pPr>
      <w:r>
        <w:rPr>
          <w:bCs/>
          <w:b/>
        </w:rPr>
        <w:t xml:space="preserve">Quality Indicators:</w:t>
      </w:r>
      <w:r>
        <w:t xml:space="preserve"> </w:t>
      </w:r>
      <w:r>
        <w:t xml:space="preserve">≥70% of hires completing 3-month technical assessment</w:t>
      </w:r>
    </w:p>
    <w:p>
      <w:pPr>
        <w:numPr>
          <w:ilvl w:val="0"/>
          <w:numId w:val="1007"/>
        </w:numPr>
        <w:pStyle w:val="Compact"/>
      </w:pPr>
      <w:r>
        <w:rPr>
          <w:bCs/>
          <w:b/>
        </w:rPr>
        <w:t xml:space="preserve">Economic Impact:</w:t>
      </w:r>
      <w:r>
        <w:t xml:space="preserve"> </w:t>
      </w:r>
      <w:r>
        <w:t xml:space="preserve">Tracking projects completed by Mechatronics Engineers (e.g., "12 automated systems deployed in Baghdad's industrial zones")</w:t>
      </w:r>
    </w:p>
    <w:bookmarkEnd w:id="31"/>
    <w:bookmarkStart w:id="32" w:name="X198788276c1466d14e2be897379cb125d106efa"/>
    <w:p>
      <w:pPr>
        <w:pStyle w:val="Heading2"/>
      </w:pPr>
      <w:r>
        <w:t xml:space="preserve">Conclusion: The Baghdad Mechatronics Imperative</w:t>
      </w:r>
    </w:p>
    <w:p>
      <w:pPr>
        <w:pStyle w:val="FirstParagraph"/>
      </w:pPr>
      <w:r>
        <w:t xml:space="preserve">The success of Iraq's industrial transformation hinges on attracting world-class Mechatronics Engineers to Baghdad. This Marketing Plan transforms a talent shortage into a strategic advantage by making mechatronics career paths in Iraq Baghdad synonymous with innovation, opportunity, and national impact. By investing in the recruitment ecosystem today, we catalyze sustainable economic growth for tomorrow—proving that Baghdad isn't just rebuilding its infrastructure; it's engineering its future. The time to position Iraq as the MEA mechatronics epicenter is now.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Recruitment in Iraq Baghdad</dc:title>
  <dc:creator/>
  <dc:language>en</dc:language>
  <cp:keywords/>
  <dcterms:created xsi:type="dcterms:W3CDTF">2026-07-23T01:56:55Z</dcterms:created>
  <dcterms:modified xsi:type="dcterms:W3CDTF">2026-07-23T01:56:55Z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