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33" w:name="X665e4eb900d5aa3a44478ba9925c7625eb580f7"/>
    <w:p>
      <w:pPr>
        <w:pStyle w:val="Heading1"/>
      </w:pPr>
      <w:r>
        <w:t xml:space="preserve">Comprehensive Marketing Plan: Attracting Top Mechatronics Engineers to Netherlands Amsterdam</w:t>
      </w:r>
    </w:p>
    <w:bookmarkStart w:id="20" w:name="executive-summary"/>
    <w:p>
      <w:pPr>
        <w:pStyle w:val="Heading2"/>
      </w:pPr>
      <w:r>
        <w:t xml:space="preserve">Executive Summary</w:t>
      </w:r>
    </w:p>
    <w:p>
      <w:pPr>
        <w:pStyle w:val="FirstParagraph"/>
      </w:pPr>
      <w:r>
        <w:t xml:space="preserve">This Marketing Plan outlines a strategic approach to recruit highly skilled Mechatronics Engineers for key industries in Netherlands Amsterdam. As the innovation hub of the Netherlands, Amsterdam offers unparalleled opportunities in robotics, sustainable energy, and advanced manufacturing. The plan targets global talent through tailored digital campaigns, industry partnerships, and cultural integration strategies to position Amsterdam as the premier destination for Mechatronics Engineer careers.</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leads Europe in mechatronics innovation with over 300 specialized companies including ASML, Philips Healthcare, and ABB Robotics. Amsterdam specifically hosts 45% of the country's robotics startups (Dutch Tech Council, 2023). The city’s strategic location within the EU, world-class infrastructure (Amsterdam Airport Schiphol), and strong talent pipeline from universities like TU Delft and Vrije Universiteit Amsterdam create an ideal ecosystem. Crucially, 78% of international engineers cite Amsterdam's work-life balance and multicultural environment as decisive factors (LinkedIn Talent Insights, 2024).</w:t>
      </w:r>
    </w:p>
    <w:bookmarkEnd w:id="21"/>
    <w:bookmarkStart w:id="22" w:name="target-audience-profile"/>
    <w:p>
      <w:pPr>
        <w:pStyle w:val="Heading2"/>
      </w:pPr>
      <w:r>
        <w:t xml:space="preserve">Target Audience Profile</w:t>
      </w:r>
    </w:p>
    <w:p>
      <w:pPr>
        <w:pStyle w:val="FirstParagraph"/>
      </w:pPr>
      <w:r>
        <w:t xml:space="preserve">We target mid-to-senior level Mechatronics Engineers (5+ years experience) with expertise in:</w:t>
      </w:r>
    </w:p>
    <w:p>
      <w:pPr>
        <w:numPr>
          <w:ilvl w:val="0"/>
          <w:numId w:val="1001"/>
        </w:numPr>
        <w:pStyle w:val="Compact"/>
      </w:pPr>
      <w:r>
        <w:t xml:space="preserve">Industrial automation &amp; IoT integration</w:t>
      </w:r>
    </w:p>
    <w:p>
      <w:pPr>
        <w:numPr>
          <w:ilvl w:val="0"/>
          <w:numId w:val="1001"/>
        </w:numPr>
        <w:pStyle w:val="Compact"/>
      </w:pPr>
      <w:r>
        <w:t xml:space="preserve">Robotics programming (ROS, PLC systems)</w:t>
      </w:r>
    </w:p>
    <w:p>
      <w:pPr>
        <w:numPr>
          <w:ilvl w:val="0"/>
          <w:numId w:val="1001"/>
        </w:numPr>
        <w:pStyle w:val="Compact"/>
      </w:pPr>
      <w:r>
        <w:t xml:space="preserve">Sustainable energy applications</w:t>
      </w:r>
    </w:p>
    <w:p>
      <w:pPr>
        <w:pStyle w:val="FirstParagraph"/>
      </w:pPr>
      <w:r>
        <w:t xml:space="preserve">Primary geographic focus: Germany, Belgium, Switzerland (65% of target market), followed by UK and Nordics. Key motivators include: competitive salary packages (€70k-€100k base + bonuses), visa sponsorship, and opportunities to work on EU Horizon projects.</w:t>
      </w:r>
    </w:p>
    <w:bookmarkEnd w:id="22"/>
    <w:bookmarkStart w:id="23" w:name="competitive-landscape"/>
    <w:p>
      <w:pPr>
        <w:pStyle w:val="Heading2"/>
      </w:pPr>
      <w:r>
        <w:t xml:space="preserve">Competitive Landscape</w:t>
      </w:r>
    </w:p>
    <w:p>
      <w:pPr>
        <w:pStyle w:val="FirstParagraph"/>
      </w:pPr>
      <w:r>
        <w:t xml:space="preserve">Amsterdam faces intense competition from Berlin (35% lower cost of living) and Munich (strong automotive sector). However, our unique advantages include:</w:t>
      </w:r>
    </w:p>
    <w:p>
      <w:pPr>
        <w:numPr>
          <w:ilvl w:val="0"/>
          <w:numId w:val="1002"/>
        </w:numPr>
        <w:pStyle w:val="Compact"/>
      </w:pPr>
      <w:r>
        <w:rPr>
          <w:bCs/>
          <w:b/>
        </w:rPr>
        <w:t xml:space="preserve">Work-Life Integration:</w:t>
      </w:r>
      <w:r>
        <w:t xml:space="preserve"> </w:t>
      </w:r>
      <w:r>
        <w:t xml:space="preserve">6-hour workday pilot programs at leading firms</w:t>
      </w:r>
    </w:p>
    <w:p>
      <w:pPr>
        <w:numPr>
          <w:ilvl w:val="0"/>
          <w:numId w:val="1002"/>
        </w:numPr>
        <w:pStyle w:val="Compact"/>
      </w:pPr>
      <w:r>
        <w:rPr>
          <w:bCs/>
          <w:b/>
        </w:rPr>
        <w:t xml:space="preserve">Eco-credentials:</w:t>
      </w:r>
      <w:r>
        <w:t xml:space="preserve"> </w:t>
      </w:r>
      <w:r>
        <w:t xml:space="preserve">Amsterdam's carbon-neutral goals attracting green-tech engineers</w:t>
      </w:r>
    </w:p>
    <w:p>
      <w:pPr>
        <w:numPr>
          <w:ilvl w:val="0"/>
          <w:numId w:val="1002"/>
        </w:numPr>
        <w:pStyle w:val="Compact"/>
      </w:pPr>
      <w:r>
        <w:rPr>
          <w:bCs/>
          <w:b/>
        </w:rPr>
        <w:t xml:space="preserve">Cultural Inclusivity:</w:t>
      </w:r>
      <w:r>
        <w:t xml:space="preserve"> </w:t>
      </w:r>
      <w:r>
        <w:t xml:space="preserve">40% of residents are expats, with dedicated international support networks</w:t>
      </w:r>
    </w:p>
    <w:bookmarkEnd w:id="23"/>
    <w:bookmarkStart w:id="27" w:name="core-marketing-strategies"/>
    <w:p>
      <w:pPr>
        <w:pStyle w:val="Heading2"/>
      </w:pPr>
      <w:r>
        <w:t xml:space="preserve">Core Marketing Strategies</w:t>
      </w:r>
    </w:p>
    <w:bookmarkStart w:id="24" w:name="digital-talent-acquisition-campaigns"/>
    <w:p>
      <w:pPr>
        <w:pStyle w:val="Heading3"/>
      </w:pPr>
      <w:r>
        <w:t xml:space="preserve">1. Digital Talent Acquisition Campaigns</w:t>
      </w:r>
    </w:p>
    <w:p>
      <w:pPr>
        <w:pStyle w:val="FirstParagraph"/>
      </w:pPr>
      <w:r>
        <w:t xml:space="preserve">Deploy hyper-targeted LinkedIn and Google Ads using keywords like "Mechatronics Engineer Netherlands Amsterdam" with geofencing to tech hubs in DACH region. Content strategy includes:</w:t>
      </w:r>
    </w:p>
    <w:p>
      <w:pPr>
        <w:numPr>
          <w:ilvl w:val="0"/>
          <w:numId w:val="1003"/>
        </w:numPr>
        <w:pStyle w:val="Compact"/>
      </w:pPr>
      <w:r>
        <w:rPr>
          <w:iCs/>
          <w:i/>
        </w:rPr>
        <w:t xml:space="preserve">Videos:</w:t>
      </w:r>
      <w:r>
        <w:t xml:space="preserve"> </w:t>
      </w:r>
      <w:r>
        <w:t xml:space="preserve">90-second testimonials from current Dutch Mechatronics Engineers (e.g., "Why I chose Amsterdam over Munich")</w:t>
      </w:r>
    </w:p>
    <w:p>
      <w:pPr>
        <w:numPr>
          <w:ilvl w:val="0"/>
          <w:numId w:val="1003"/>
        </w:numPr>
        <w:pStyle w:val="Compact"/>
      </w:pPr>
      <w:r>
        <w:rPr>
          <w:iCs/>
          <w:i/>
        </w:rPr>
        <w:t xml:space="preserve">Interactive Tool:</w:t>
      </w:r>
      <w:r>
        <w:t xml:space="preserve"> </w:t>
      </w:r>
      <w:r>
        <w:t xml:space="preserve">"Amsterdam Career Calculator" showing salary vs. cost of living comparisons</w:t>
      </w:r>
    </w:p>
    <w:p>
      <w:pPr>
        <w:numPr>
          <w:ilvl w:val="0"/>
          <w:numId w:val="1003"/>
        </w:numPr>
        <w:pStyle w:val="Compact"/>
      </w:pPr>
      <w:r>
        <w:rPr>
          <w:iCs/>
          <w:i/>
        </w:rPr>
        <w:t xml:space="preserve">Ebook:</w:t>
      </w:r>
      <w:r>
        <w:t xml:space="preserve"> </w:t>
      </w:r>
      <w:r>
        <w:t xml:space="preserve">"2024 Netherlands Mechatronics Roadmap: From ASML to Startup Ecosystem"</w:t>
      </w:r>
    </w:p>
    <w:bookmarkEnd w:id="24"/>
    <w:bookmarkStart w:id="25" w:name="strategic-industry-partnerships"/>
    <w:p>
      <w:pPr>
        <w:pStyle w:val="Heading3"/>
      </w:pPr>
      <w:r>
        <w:t xml:space="preserve">2. Strategic Industry Partnerships</w:t>
      </w:r>
    </w:p>
    <w:p>
      <w:pPr>
        <w:pStyle w:val="FirstParagraph"/>
      </w:pPr>
      <w:r>
        <w:t xml:space="preserve">Cultivate alliances with:</w:t>
      </w:r>
    </w:p>
    <w:p>
      <w:pPr>
        <w:numPr>
          <w:ilvl w:val="0"/>
          <w:numId w:val="1004"/>
        </w:numPr>
        <w:pStyle w:val="Compact"/>
      </w:pPr>
      <w:r>
        <w:rPr>
          <w:bCs/>
          <w:b/>
        </w:rPr>
        <w:t xml:space="preserve">TU Delft &amp; Amsterdam University of Applied Sciences:</w:t>
      </w:r>
      <w:r>
        <w:t xml:space="preserve"> </w:t>
      </w:r>
      <w:r>
        <w:t xml:space="preserve">Co-host "Mechatronics Innovation Challenge" hackathons</w:t>
      </w:r>
    </w:p>
    <w:p>
      <w:pPr>
        <w:numPr>
          <w:ilvl w:val="0"/>
          <w:numId w:val="1004"/>
        </w:numPr>
        <w:pStyle w:val="Compact"/>
      </w:pPr>
      <w:r>
        <w:rPr>
          <w:bCs/>
          <w:b/>
        </w:rPr>
        <w:t xml:space="preserve">Dutch Tech Coalition:</w:t>
      </w:r>
      <w:r>
        <w:t xml:space="preserve"> </w:t>
      </w:r>
      <w:r>
        <w:t xml:space="preserve">Joint visa sponsorship program for certified candidates</w:t>
      </w:r>
    </w:p>
    <w:p>
      <w:pPr>
        <w:numPr>
          <w:ilvl w:val="0"/>
          <w:numId w:val="1004"/>
        </w:numPr>
        <w:pStyle w:val="Compact"/>
      </w:pPr>
      <w:r>
        <w:rPr>
          <w:bCs/>
          <w:b/>
        </w:rPr>
        <w:t xml:space="preserve">Netherlands Enterprise Agency (Rijksdienst voor Ondernemend Nederland):</w:t>
      </w:r>
      <w:r>
        <w:t xml:space="preserve"> </w:t>
      </w:r>
      <w:r>
        <w:t xml:space="preserve">Priority recruitment visas with 2-week processing times</w:t>
      </w:r>
    </w:p>
    <w:bookmarkEnd w:id="25"/>
    <w:bookmarkStart w:id="26" w:name="cultural-integration-proposition"/>
    <w:p>
      <w:pPr>
        <w:pStyle w:val="Heading3"/>
      </w:pPr>
      <w:r>
        <w:t xml:space="preserve">3. Cultural Integration Proposition</w:t>
      </w:r>
    </w:p>
    <w:p>
      <w:pPr>
        <w:pStyle w:val="FirstParagraph"/>
      </w:pPr>
      <w:r>
        <w:t xml:space="preserve">Move beyond salary to showcase Amsterdam’s unique lifestyle through:</w:t>
      </w:r>
    </w:p>
    <w:p>
      <w:pPr>
        <w:numPr>
          <w:ilvl w:val="0"/>
          <w:numId w:val="1005"/>
        </w:numPr>
        <w:pStyle w:val="Compact"/>
      </w:pPr>
      <w:r>
        <w:rPr>
          <w:iCs/>
          <w:i/>
        </w:rPr>
        <w:t xml:space="preserve">Cultural Onboarding:</w:t>
      </w:r>
      <w:r>
        <w:t xml:space="preserve"> </w:t>
      </w:r>
      <w:r>
        <w:t xml:space="preserve">Free Dutch language crash courses + neighborhood guides (e.g., "Best Housing for Engineers in Zuidas")</w:t>
      </w:r>
    </w:p>
    <w:p>
      <w:pPr>
        <w:numPr>
          <w:ilvl w:val="0"/>
          <w:numId w:val="1005"/>
        </w:numPr>
        <w:pStyle w:val="Compact"/>
      </w:pPr>
      <w:r>
        <w:rPr>
          <w:iCs/>
          <w:i/>
        </w:rPr>
        <w:t xml:space="preserve">Sustainability Focus:</w:t>
      </w:r>
      <w:r>
        <w:t xml:space="preserve"> </w:t>
      </w:r>
      <w:r>
        <w:t xml:space="preserve">Highlight projects like Amsterdam Smart City's mechatronics-driven waste management systems</w:t>
      </w:r>
    </w:p>
    <w:p>
      <w:pPr>
        <w:numPr>
          <w:ilvl w:val="0"/>
          <w:numId w:val="1005"/>
        </w:numPr>
        <w:pStyle w:val="Compact"/>
      </w:pPr>
      <w:r>
        <w:rPr>
          <w:iCs/>
          <w:i/>
        </w:rPr>
        <w:t xml:space="preserve">Community Building:</w:t>
      </w:r>
      <w:r>
        <w:t xml:space="preserve"> </w:t>
      </w:r>
      <w:r>
        <w:t xml:space="preserve">Sponsor events at Mechatronics Meetup Amsterdam (5,200+ members)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Positioning (Months 1-2)</w:t>
            </w:r>
          </w:p>
        </w:tc>
        <w:tc>
          <w:tcPr/>
          <w:p>
            <w:pPr>
              <w:pStyle w:val="Compact"/>
              <w:jc w:val="left"/>
            </w:pPr>
            <w:r>
              <w:t xml:space="preserve">Q1 2024</w:t>
            </w:r>
          </w:p>
        </w:tc>
        <w:tc>
          <w:tcPr/>
          <w:p>
            <w:pPr>
              <w:pStyle w:val="Compact"/>
              <w:jc w:val="left"/>
            </w:pPr>
            <w:r>
              <w:t xml:space="preserve">Pilot "Amsterdam Mechatronics Passport" with exclusive city benefits; launch employer branding video series</w:t>
            </w:r>
          </w:p>
        </w:tc>
      </w:tr>
      <w:tr>
        <w:tc>
          <w:tcPr/>
          <w:p>
            <w:pPr>
              <w:pStyle w:val="Compact"/>
              <w:jc w:val="left"/>
            </w:pPr>
            <w:r>
              <w:t xml:space="preserve">Campaign Activation (Months 3-5)</w:t>
            </w:r>
          </w:p>
        </w:tc>
        <w:tc>
          <w:tcPr/>
          <w:p>
            <w:pPr>
              <w:pStyle w:val="Compact"/>
              <w:jc w:val="left"/>
            </w:pPr>
            <w:r>
              <w:t xml:space="preserve">Q2 2024</w:t>
            </w:r>
          </w:p>
        </w:tc>
        <w:tc>
          <w:tcPr/>
          <w:p>
            <w:pPr>
              <w:pStyle w:val="Compact"/>
              <w:jc w:val="left"/>
            </w:pPr>
            <w:r>
              <w:t xml:space="preserve">Execute targeted digital ads; host first TU Delft partnership hackathon</w:t>
            </w:r>
          </w:p>
        </w:tc>
      </w:tr>
      <w:tr>
        <w:tc>
          <w:tcPr/>
          <w:p>
            <w:pPr>
              <w:pStyle w:val="Compact"/>
              <w:jc w:val="left"/>
            </w:pPr>
            <w:r>
              <w:t xml:space="preserve">Talent Conversion (Months 6-8)</w:t>
            </w:r>
          </w:p>
        </w:tc>
        <w:tc>
          <w:tcPr/>
          <w:p>
            <w:pPr>
              <w:pStyle w:val="Compact"/>
              <w:jc w:val="left"/>
            </w:pPr>
            <w:r>
              <w:t xml:space="preserve">Q3 2024</w:t>
            </w:r>
          </w:p>
        </w:tc>
        <w:tc>
          <w:tcPr/>
          <w:p>
            <w:pPr>
              <w:pStyle w:val="Compact"/>
              <w:jc w:val="left"/>
            </w:pPr>
            <w:r>
              <w:t xml:space="preserve">Implement visa sponsorship program; deploy cultural onboarding toolkit</w:t>
            </w:r>
          </w:p>
        </w:tc>
      </w:tr>
      <w:tr>
        <w:tc>
          <w:tcPr/>
          <w:p>
            <w:pPr>
              <w:pStyle w:val="Compact"/>
              <w:jc w:val="left"/>
            </w:pPr>
            <w:r>
              <w:t xml:space="preserve">Sustainability (Ongoing)</w:t>
            </w:r>
          </w:p>
        </w:tc>
        <w:tc>
          <w:tcPr/>
          <w:p>
            <w:pPr>
              <w:pStyle w:val="Compact"/>
              <w:jc w:val="left"/>
            </w:pPr>
            <w:r>
              <w:t xml:space="preserve">Q4 2024+</w:t>
            </w:r>
          </w:p>
        </w:tc>
        <w:tc>
          <w:tcPr/>
          <w:p>
            <w:pPr>
              <w:pStyle w:val="Compact"/>
              <w:jc w:val="left"/>
            </w:pPr>
            <w:r>
              <w:t xml:space="preserve">Measure retention rates; expand to biannual Mechatronics Innovation Summit</w:t>
            </w:r>
          </w:p>
        </w:tc>
      </w:tr>
    </w:tbl>
    <w:bookmarkEnd w:id="28"/>
    <w:bookmarkStart w:id="29" w:name="budget-allocation"/>
    <w:p>
      <w:pPr>
        <w:pStyle w:val="Heading2"/>
      </w:pPr>
      <w:r>
        <w:t xml:space="preserve">Budget Allocation</w:t>
      </w:r>
    </w:p>
    <w:p>
      <w:pPr>
        <w:pStyle w:val="FirstParagraph"/>
      </w:pPr>
      <w:r>
        <w:t xml:space="preserve">Total Investment: €185,000 (95% digital, 3% events, 2% analytics)</w:t>
      </w:r>
    </w:p>
    <w:p>
      <w:pPr>
        <w:numPr>
          <w:ilvl w:val="0"/>
          <w:numId w:val="1006"/>
        </w:numPr>
        <w:pStyle w:val="Compact"/>
      </w:pPr>
      <w:r>
        <w:rPr>
          <w:bCs/>
          <w:b/>
        </w:rPr>
        <w:t xml:space="preserve">Digital Advertising:</w:t>
      </w:r>
      <w:r>
        <w:t xml:space="preserve"> </w:t>
      </w:r>
      <w:r>
        <w:t xml:space="preserve">€95,000 (LinkedIn/Google Ads + programmatic targeting)</w:t>
      </w:r>
    </w:p>
    <w:p>
      <w:pPr>
        <w:numPr>
          <w:ilvl w:val="0"/>
          <w:numId w:val="1006"/>
        </w:numPr>
        <w:pStyle w:val="Compact"/>
      </w:pPr>
      <w:r>
        <w:rPr>
          <w:bCs/>
          <w:b/>
        </w:rPr>
        <w:t xml:space="preserve">Partnership Development:</w:t>
      </w:r>
      <w:r>
        <w:t xml:space="preserve"> </w:t>
      </w:r>
      <w:r>
        <w:t xml:space="preserve">€48,000 (TU Delft collaboration costs, event sponsorships)</w:t>
      </w:r>
    </w:p>
    <w:p>
      <w:pPr>
        <w:numPr>
          <w:ilvl w:val="0"/>
          <w:numId w:val="1006"/>
        </w:numPr>
        <w:pStyle w:val="Compact"/>
      </w:pPr>
      <w:r>
        <w:rPr>
          <w:bCs/>
          <w:b/>
        </w:rPr>
        <w:t xml:space="preserve">Cultural Toolkits:</w:t>
      </w:r>
      <w:r>
        <w:t xml:space="preserve"> </w:t>
      </w:r>
      <w:r>
        <w:t xml:space="preserve">€27,500 (e-learning modules, multilingual resources)</w:t>
      </w:r>
    </w:p>
    <w:p>
      <w:pPr>
        <w:numPr>
          <w:ilvl w:val="0"/>
          <w:numId w:val="1006"/>
        </w:numPr>
        <w:pStyle w:val="Compact"/>
      </w:pPr>
      <w:r>
        <w:rPr>
          <w:bCs/>
          <w:b/>
        </w:rPr>
        <w:t xml:space="preserve">KPI Analytics:</w:t>
      </w:r>
      <w:r>
        <w:t xml:space="preserve"> </w:t>
      </w:r>
      <w:r>
        <w:t xml:space="preserve">£14,500 (CRM integration with applicant tracking systems)</w:t>
      </w:r>
    </w:p>
    <w:bookmarkEnd w:id="29"/>
    <w:bookmarkStart w:id="30" w:name="performance-metrics-kpis"/>
    <w:p>
      <w:pPr>
        <w:pStyle w:val="Heading2"/>
      </w:pPr>
      <w:r>
        <w:t xml:space="preserve">Performance Metrics &amp; KPIs</w:t>
      </w:r>
    </w:p>
    <w:p>
      <w:pPr>
        <w:pStyle w:val="FirstParagraph"/>
      </w:pPr>
      <w:r>
        <w:t xml:space="preserve">We measure success through:</w:t>
      </w:r>
    </w:p>
    <w:p>
      <w:pPr>
        <w:numPr>
          <w:ilvl w:val="0"/>
          <w:numId w:val="1007"/>
        </w:numPr>
        <w:pStyle w:val="Compact"/>
      </w:pPr>
      <w:r>
        <w:rPr>
          <w:bCs/>
          <w:b/>
        </w:rPr>
        <w:t xml:space="preserve">Talent Acquisition Rate:</w:t>
      </w:r>
      <w:r>
        <w:t xml:space="preserve"> </w:t>
      </w:r>
      <w:r>
        <w:t xml:space="preserve">35% increase in qualified Mechatronics Engineer applications within 6 months (vs. baseline)</w:t>
      </w:r>
    </w:p>
    <w:p>
      <w:pPr>
        <w:numPr>
          <w:ilvl w:val="0"/>
          <w:numId w:val="1007"/>
        </w:numPr>
        <w:pStyle w:val="Compact"/>
      </w:pPr>
      <w:r>
        <w:rPr>
          <w:bCs/>
          <w:b/>
        </w:rPr>
        <w:t xml:space="preserve">Cultural Integration:</w:t>
      </w:r>
      <w:r>
        <w:t xml:space="preserve"> </w:t>
      </w:r>
      <w:r>
        <w:t xml:space="preserve">85% candidate satisfaction score on onboarding experience</w:t>
      </w:r>
    </w:p>
    <w:p>
      <w:pPr>
        <w:numPr>
          <w:ilvl w:val="0"/>
          <w:numId w:val="1007"/>
        </w:numPr>
        <w:pStyle w:val="Compact"/>
      </w:pPr>
      <w:r>
        <w:rPr>
          <w:bCs/>
          <w:b/>
        </w:rPr>
        <w:t xml:space="preserve">Retention Target:</w:t>
      </w:r>
      <w:r>
        <w:t xml:space="preserve"> </w:t>
      </w:r>
      <w:r>
        <w:t xml:space="preserve">≥70% of hired engineers remaining after 18 months (vs. industry average of 52%)</w:t>
      </w:r>
    </w:p>
    <w:p>
      <w:pPr>
        <w:numPr>
          <w:ilvl w:val="0"/>
          <w:numId w:val="1007"/>
        </w:numPr>
        <w:pStyle w:val="Compact"/>
      </w:pPr>
      <w:r>
        <w:rPr>
          <w:bCs/>
          <w:b/>
        </w:rPr>
        <w:t xml:space="preserve">Economic ROI:</w:t>
      </w:r>
      <w:r>
        <w:t xml:space="preserve"> </w:t>
      </w:r>
      <w:r>
        <w:t xml:space="preserve">€3.40 return per €1 invested through reduced recruitment costs and enhanced project velocity</w:t>
      </w:r>
    </w:p>
    <w:bookmarkEnd w:id="30"/>
    <w:bookmarkStart w:id="31" w:name="Xfc2d2111a5110ece6f94b1c86e00bd6bb190e54"/>
    <w:p>
      <w:pPr>
        <w:pStyle w:val="Heading2"/>
      </w:pPr>
      <w:r>
        <w:t xml:space="preserve">Why Netherlands Amsterdam? The Final Proposition</w:t>
      </w:r>
    </w:p>
    <w:p>
      <w:pPr>
        <w:pStyle w:val="FirstParagraph"/>
      </w:pPr>
      <w:r>
        <w:t xml:space="preserve">Netherlands Amsterdam isn't just a location—it's the catalyst for Mechatronics Engineers' career acceleration. With its unparalleled convergence of industry giants, academic excellence, and sustainable innovation ecosystem, the city offers more than a job: it delivers purpose-driven work at the forefront of Europe's engineering evolution. Our Marketing Plan transforms recruitment into an employer branding journey that resonates with global talent seeking both professional growth and cultural enrichment in one of Europe's most dynamic cities.</w:t>
      </w:r>
    </w:p>
    <w:bookmarkEnd w:id="31"/>
    <w:bookmarkStart w:id="32" w:name="conclusion"/>
    <w:p>
      <w:pPr>
        <w:pStyle w:val="Heading2"/>
      </w:pPr>
      <w:r>
        <w:t xml:space="preserve">Conclusion</w:t>
      </w:r>
    </w:p>
    <w:p>
      <w:pPr>
        <w:pStyle w:val="FirstParagraph"/>
      </w:pPr>
      <w:r>
        <w:t xml:space="preserve">This Marketing Plan positions Netherlands Amsterdam as the undisputed destination for Mechatronics Engineers through data-driven targeting, strategic ecosystem collaboration, and genuine cultural immersion. By focusing on what matters to engineers—innovation impact, work-life harmony, and career trajectory—we will achieve our recruitment targets while strengthening Amsterdam's status as Europe's mechatronics innovation capital. The success of this plan will directly contribute to the Netherlands' goal of becoming a global leader in advanced engineering solutions by 2030.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in Netherlands Amsterdam</dc:title>
  <dc:creator/>
  <dc:language>en</dc:language>
  <cp:keywords/>
  <dcterms:created xsi:type="dcterms:W3CDTF">2026-07-19T07:11:14Z</dcterms:created>
  <dcterms:modified xsi:type="dcterms:W3CDTF">2026-07-19T07:11:14Z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