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1" w:name="Xa429775dcab6d8038a9aa27cfbbbb08ffad58a7"/>
    <w:p>
      <w:pPr>
        <w:pStyle w:val="Heading1"/>
      </w:pPr>
      <w:r>
        <w:t xml:space="preserve">Strategic Marketing Plan: Recruiting Elite Medical Researchers for Canada Vancouver</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Medical Researchers for key institutions across Canada Vancouver. With the region’s burgeoning life sciences ecosystem, including world-class universities (UBC, SFU), BC Cancer Agency, and LifeSciences BC network, we position Canada Vancouver as the premier destination for medical innovation. This plan prioritizes culturally nuanced engagement with globally qualified researchers while emphasizing Vancouver’s unique quality-of-life advantages. All initiatives align with Canadian employment standards and provincial research priorities.</w:t>
      </w:r>
    </w:p>
    <w:bookmarkEnd w:id="20"/>
    <w:bookmarkStart w:id="21" w:name="target-audience-analysis"/>
    <w:p>
      <w:pPr>
        <w:pStyle w:val="Heading2"/>
      </w:pPr>
      <w:r>
        <w:t xml:space="preserve">Target Audience Analysis</w:t>
      </w:r>
    </w:p>
    <w:p>
      <w:pPr>
        <w:pStyle w:val="FirstParagraph"/>
      </w:pPr>
      <w:r>
        <w:t xml:space="preserve">Our primary audience comprises internationally trained Medical Researchers (PhD or MD/PhD) specializing in oncology, neurology, or infectious diseases—fields critical to British Columbia’s health agenda. Key demographics include professionals aged 30–45 seeking relocation to Canada with experience in clinical trials or translational research. Secondary audiences include Canadian graduates from Vancouver-based institutions and early-career researchers targeting postdoctoral roles at UBC. Crucially, we address unspoken needs: visa sponsorship complexity, cultural adaptation support, and alignment with Canada’s healthcare ethics framework (e.g., CIHR guidelines). Vancouver-specific appeal includes proximity to the Pacific Ocean for wellness, tax advantages under BC’s research grants program (e.g., BC Research Support Fund), and a multicultural community reducing relocation anxiety.</w:t>
      </w:r>
    </w:p>
    <w:bookmarkEnd w:id="21"/>
    <w:bookmarkStart w:id="22" w:name="Xd0aeb28ddb56253e164282acf239094226b6064"/>
    <w:p>
      <w:pPr>
        <w:pStyle w:val="Heading2"/>
      </w:pPr>
      <w:r>
        <w:t xml:space="preserve">Competitive Positioning in Canada Vancouver</w:t>
      </w:r>
    </w:p>
    <w:p>
      <w:pPr>
        <w:pStyle w:val="FirstParagraph"/>
      </w:pPr>
      <w:r>
        <w:t xml:space="preserve">Vancouver faces stiff competition from Toronto and Montreal for Medical Research talent. Our differentiator leverages Canada Vancouver’s unique ecosystem:</w:t>
      </w:r>
      <w:r>
        <w:t xml:space="preserve"> </w:t>
      </w:r>
      <w:r>
        <w:t xml:space="preserve">-</w:t>
      </w:r>
      <w:r>
        <w:t xml:space="preserve"> </w:t>
      </w:r>
      <w:r>
        <w:rPr>
          <w:bCs/>
          <w:b/>
        </w:rPr>
        <w:t xml:space="preserve">Industry-Academia Synergy</w:t>
      </w:r>
      <w:r>
        <w:t xml:space="preserve">: Partnerships with firms like Nordion (radiopharmaceuticals) and Synaptive Medical, offering industry collaboration opportunities absent in other Canadian hubs.</w:t>
      </w:r>
      <w:r>
        <w:t xml:space="preserve"> </w:t>
      </w:r>
      <w:r>
        <w:t xml:space="preserve">-</w:t>
      </w:r>
      <w:r>
        <w:t xml:space="preserve"> </w:t>
      </w:r>
      <w:r>
        <w:rPr>
          <w:bCs/>
          <w:b/>
        </w:rPr>
        <w:t xml:space="preserve">Quality of Life Premium</w:t>
      </w:r>
      <w:r>
        <w:t xml:space="preserve">: Access to outdoor recreation (Whistler skiing, sea kayaking) directly tied to retention—68% of researchers cite environment as decisive per 2023 BC Health Survey.</w:t>
      </w:r>
      <w:r>
        <w:t xml:space="preserve"> </w:t>
      </w:r>
      <w:r>
        <w:t xml:space="preserve">-</w:t>
      </w:r>
      <w:r>
        <w:t xml:space="preserve"> </w:t>
      </w:r>
      <w:r>
        <w:rPr>
          <w:bCs/>
          <w:b/>
        </w:rPr>
        <w:t xml:space="preserve">Provincial Support Systems</w:t>
      </w:r>
      <w:r>
        <w:t xml:space="preserve">: BC’s $50M annual investment in medical research (2024 budget), including fast-track licensing through the College of Physicians and Surgeons of British Columbia.</w:t>
      </w:r>
      <w:r>
        <w:t xml:space="preserve"> </w:t>
      </w:r>
      <w:r>
        <w:t xml:space="preserve">We position "Canada Vancouver" not just as a location but as a career catalyst where research directly impacts global health outcomes through initiatives like the Vancouver Coastal Health Research Institute.</w:t>
      </w:r>
    </w:p>
    <w:bookmarkEnd w:id="22"/>
    <w:bookmarkStart w:id="26" w:name="marketing-channels-tactics"/>
    <w:p>
      <w:pPr>
        <w:pStyle w:val="Heading2"/>
      </w:pPr>
      <w:r>
        <w:t xml:space="preserve">Marketing Channels &amp; Tactics</w:t>
      </w:r>
    </w:p>
    <w:p>
      <w:pPr>
        <w:pStyle w:val="FirstParagraph"/>
      </w:pPr>
      <w:r>
        <w:t xml:space="preserve">Our channel strategy merges digital precision with local community immersion, all tailored for Canada Vancouver’s professional landscape:</w:t>
      </w:r>
    </w:p>
    <w:bookmarkStart w:id="23" w:name="digital-social-media"/>
    <w:p>
      <w:pPr>
        <w:pStyle w:val="Heading3"/>
      </w:pPr>
      <w:r>
        <w:t xml:space="preserve">Digital &amp; Social Media</w:t>
      </w:r>
    </w:p>
    <w:p>
      <w:pPr>
        <w:pStyle w:val="FirstParagraph"/>
      </w:pPr>
      <w:r>
        <w:t xml:space="preserve">-</w:t>
      </w:r>
      <w:r>
        <w:t xml:space="preserve"> </w:t>
      </w:r>
      <w:r>
        <w:rPr>
          <w:bCs/>
          <w:b/>
        </w:rPr>
        <w:t xml:space="preserve">LinkedIn Campaigns:</w:t>
      </w:r>
      <w:r>
        <w:t xml:space="preserve"> </w:t>
      </w:r>
      <w:r>
        <w:t xml:space="preserve">Targeted ads using keywords "Medical Researcher Canada Vancouver," featuring testimonials from current UBC researchers. Budget: $12,000/month.</w:t>
      </w:r>
      <w:r>
        <w:t xml:space="preserve"> </w:t>
      </w:r>
      <w:r>
        <w:t xml:space="preserve">-</w:t>
      </w:r>
      <w:r>
        <w:t xml:space="preserve"> </w:t>
      </w:r>
      <w:r>
        <w:rPr>
          <w:bCs/>
          <w:b/>
        </w:rPr>
        <w:t xml:space="preserve">Niche Job Platforms:</w:t>
      </w:r>
      <w:r>
        <w:t xml:space="preserve"> </w:t>
      </w:r>
      <w:r>
        <w:t xml:space="preserve">Premium listings on Canadian Medical Association Journal (CMAJ) Jobs, Science Careers, and local sites like WorkInBC.ca.</w:t>
      </w:r>
      <w:r>
        <w:t xml:space="preserve"> </w:t>
      </w:r>
      <w:r>
        <w:t xml:space="preserve">-</w:t>
      </w:r>
      <w:r>
        <w:t xml:space="preserve"> </w:t>
      </w:r>
      <w:r>
        <w:rPr>
          <w:bCs/>
          <w:b/>
        </w:rPr>
        <w:t xml:space="preserve">Content Hub:</w:t>
      </w:r>
      <w:r>
        <w:t xml:space="preserve"> </w:t>
      </w:r>
      <w:r>
        <w:t xml:space="preserve">Blog series "Why Vancouver? Medical Researcher Experiences," addressing visa processes (e.g., Express Entry for researchers) and BC-specific funding.</w:t>
      </w:r>
    </w:p>
    <w:bookmarkEnd w:id="23"/>
    <w:bookmarkStart w:id="24" w:name="community-institutional-partnerships"/>
    <w:p>
      <w:pPr>
        <w:pStyle w:val="Heading3"/>
      </w:pPr>
      <w:r>
        <w:t xml:space="preserve">Community &amp; Institutional Partnerships</w:t>
      </w:r>
    </w:p>
    <w:p>
      <w:pPr>
        <w:pStyle w:val="FirstParagraph"/>
      </w:pPr>
      <w:r>
        <w:t xml:space="preserve">-</w:t>
      </w:r>
      <w:r>
        <w:t xml:space="preserve"> </w:t>
      </w:r>
      <w:r>
        <w:rPr>
          <w:bCs/>
          <w:b/>
        </w:rPr>
        <w:t xml:space="preserve">University Collaborations:</w:t>
      </w:r>
      <w:r>
        <w:t xml:space="preserve"> </w:t>
      </w:r>
      <w:r>
        <w:t xml:space="preserve">Co-hosted webinars with UBC’s Faculty of Medicine on "Translational Research in Canada Vancouver," featuring recruitment leads.</w:t>
      </w:r>
      <w:r>
        <w:t xml:space="preserve"> </w:t>
      </w:r>
      <w:r>
        <w:t xml:space="preserve">-</w:t>
      </w:r>
      <w:r>
        <w:t xml:space="preserve"> </w:t>
      </w:r>
      <w:r>
        <w:rPr>
          <w:bCs/>
          <w:b/>
        </w:rPr>
        <w:t xml:space="preserve">Lifesciences Network Engagement:</w:t>
      </w:r>
      <w:r>
        <w:t xml:space="preserve"> </w:t>
      </w:r>
      <w:r>
        <w:t xml:space="preserve">Sponsorship of LifeSciences BC events (e.g., Annual Innovation Summit) to showcase opportunities at Vancouver sites.</w:t>
      </w:r>
      <w:r>
        <w:t xml:space="preserve"> </w:t>
      </w:r>
      <w:r>
        <w:t xml:space="preserve">-</w:t>
      </w:r>
      <w:r>
        <w:t xml:space="preserve"> </w:t>
      </w:r>
      <w:r>
        <w:rPr>
          <w:bCs/>
          <w:b/>
        </w:rPr>
        <w:t xml:space="preserve">Canadian Immigrant Networks:</w:t>
      </w:r>
      <w:r>
        <w:t xml:space="preserve"> </w:t>
      </w:r>
      <w:r>
        <w:t xml:space="preserve">Partner with organizations like Canadian Immigration Lawyers Association (CILA) to host workshops on "Navigating Medical Licensing in Canada."</w:t>
      </w:r>
    </w:p>
    <w:bookmarkEnd w:id="24"/>
    <w:bookmarkStart w:id="25" w:name="localized-incentives"/>
    <w:p>
      <w:pPr>
        <w:pStyle w:val="Heading3"/>
      </w:pPr>
      <w:r>
        <w:t xml:space="preserve">Localized Incentives</w:t>
      </w:r>
    </w:p>
    <w:p>
      <w:pPr>
        <w:pStyle w:val="FirstParagraph"/>
      </w:pPr>
      <w:r>
        <w:t xml:space="preserve">-</w:t>
      </w:r>
      <w:r>
        <w:t xml:space="preserve"> </w:t>
      </w:r>
      <w:r>
        <w:rPr>
          <w:bCs/>
          <w:b/>
        </w:rPr>
        <w:t xml:space="preserve">Vancouver Relocation Package:</w:t>
      </w:r>
      <w:r>
        <w:t xml:space="preserve"> </w:t>
      </w:r>
      <w:r>
        <w:t xml:space="preserve">Includes subsidized housing through Vancouver Coastal Health’s employee program and $5,000 wellness stipend for outdoor activities.</w:t>
      </w:r>
      <w:r>
        <w:t xml:space="preserve"> </w:t>
      </w:r>
      <w:r>
        <w:t xml:space="preserve">-</w:t>
      </w:r>
      <w:r>
        <w:t xml:space="preserve"> </w:t>
      </w:r>
      <w:r>
        <w:rPr>
          <w:bCs/>
          <w:b/>
        </w:rPr>
        <w:t xml:space="preserve">Cultural Integration Support:</w:t>
      </w:r>
      <w:r>
        <w:t xml:space="preserve"> </w:t>
      </w:r>
      <w:r>
        <w:t xml:space="preserve">Free language coaching (French/English) and mentorship with BC-based Medical Researchers to ease adaptation.</w:t>
      </w:r>
    </w:p>
    <w:bookmarkEnd w:id="25"/>
    <w:bookmarkEnd w:id="26"/>
    <w:bookmarkStart w:id="27" w:name="timeline-kpis"/>
    <w:p>
      <w:pPr>
        <w:pStyle w:val="Heading2"/>
      </w:pPr>
      <w:r>
        <w:t xml:space="preserve">Timeline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Market Research &amp; Branding</w:t>
            </w:r>
          </w:p>
        </w:tc>
        <w:tc>
          <w:tcPr/>
          <w:p>
            <w:pPr>
              <w:pStyle w:val="Compact"/>
              <w:jc w:val="left"/>
            </w:pPr>
            <w:r>
              <w:t xml:space="preserve">Month 1–2</w:t>
            </w:r>
          </w:p>
        </w:tc>
        <w:tc>
          <w:tcPr/>
          <w:p>
            <w:pPr>
              <w:pStyle w:val="Compact"/>
              <w:jc w:val="left"/>
            </w:pPr>
            <w:r>
              <w:t xml:space="preserve">Competitor analysis report; Vancouver-specific value proposition finalized.</w:t>
            </w:r>
          </w:p>
        </w:tc>
      </w:tr>
      <w:tr>
        <w:tc>
          <w:tcPr/>
          <w:p>
            <w:pPr>
              <w:pStyle w:val="Compact"/>
              <w:jc w:val="left"/>
            </w:pPr>
            <w:r>
              <w:t xml:space="preserve">Launch &amp; Awareness Drive</w:t>
            </w:r>
          </w:p>
        </w:tc>
        <w:tc>
          <w:tcPr/>
          <w:p>
            <w:pPr>
              <w:pStyle w:val="Compact"/>
              <w:jc w:val="left"/>
            </w:pPr>
            <w:r>
              <w:t xml:space="preserve">Month 3–4</w:t>
            </w:r>
          </w:p>
        </w:tc>
        <w:tc>
          <w:tcPr/>
          <w:p>
            <w:pPr>
              <w:pStyle w:val="Compact"/>
              <w:jc w:val="left"/>
            </w:pPr>
            <w:r>
              <w:t xml:space="preserve">Achieve 70% brand recognition among targeted researchers via LinkedIn analytics.</w:t>
            </w:r>
          </w:p>
        </w:tc>
      </w:tr>
      <w:tr>
        <w:tc>
          <w:tcPr/>
          <w:p>
            <w:pPr>
              <w:pStyle w:val="Compact"/>
              <w:jc w:val="left"/>
            </w:pPr>
            <w:r>
              <w:t xml:space="preserve">Conversion &amp; Retention Focus</w:t>
            </w:r>
          </w:p>
        </w:tc>
        <w:tc>
          <w:tcPr/>
          <w:p>
            <w:pPr>
              <w:pStyle w:val="Compact"/>
              <w:jc w:val="left"/>
            </w:pPr>
            <w:r>
              <w:t xml:space="preserve">Month 5–8</w:t>
            </w:r>
          </w:p>
        </w:tc>
        <w:tc>
          <w:tcPr/>
          <w:p>
            <w:pPr>
              <w:pStyle w:val="Compact"/>
              <w:jc w:val="left"/>
            </w:pPr>
            <w:r>
              <w:t xml:space="preserve">50+ qualified candidates; 35% offer acceptance rate (vs. industry avg. 22%).</w:t>
            </w:r>
          </w:p>
        </w:tc>
      </w:tr>
    </w:tbl>
    <w:bookmarkEnd w:id="27"/>
    <w:bookmarkStart w:id="28" w:name="budget-allocation-total-85000"/>
    <w:p>
      <w:pPr>
        <w:pStyle w:val="Heading2"/>
      </w:pPr>
      <w:r>
        <w:t xml:space="preserve">Budget Allocation (Total: $85,000)</w:t>
      </w:r>
    </w:p>
    <w:p>
      <w:pPr>
        <w:pStyle w:val="FirstParagraph"/>
      </w:pPr>
      <w:r>
        <w:t xml:space="preserve">- Digital Campaigns: $35,000 (LinkedIn, targeted ads)</w:t>
      </w:r>
      <w:r>
        <w:t xml:space="preserve"> </w:t>
      </w:r>
      <w:r>
        <w:t xml:space="preserve">- Events &amp; Partnerships: $35,000 (LifeSciences BC sponsorships, university webinars)</w:t>
      </w:r>
      <w:r>
        <w:t xml:space="preserve"> </w:t>
      </w:r>
      <w:r>
        <w:t xml:space="preserve">- Content &amp; Materials: $12,500 (Blog series, relocation guides in English/French)</w:t>
      </w:r>
      <w:r>
        <w:t xml:space="preserve"> </w:t>
      </w:r>
      <w:r>
        <w:t xml:space="preserve">- Contingency: $2,500</w:t>
      </w:r>
    </w:p>
    <w:bookmarkEnd w:id="28"/>
    <w:bookmarkStart w:id="29" w:name="compliance-ethical-considerations"/>
    <w:p>
      <w:pPr>
        <w:pStyle w:val="Heading2"/>
      </w:pPr>
      <w:r>
        <w:t xml:space="preserve">Compliance &amp; Ethical Considerations</w:t>
      </w:r>
    </w:p>
    <w:p>
      <w:pPr>
        <w:pStyle w:val="FirstParagraph"/>
      </w:pPr>
      <w:r>
        <w:t xml:space="preserve">All marketing adheres to Canada’s Employment Equity Act and BC Human Rights Code. We explicitly avoid geographic discrimination by highlighting Vancouver’s accessibility for Indigenous researchers (e.g., partnerships with First Nations Health Authority) and refugees under the Healthcare Professional Immigration Stream. Language compliance includes all materials in English, with optional French versions for Quebec-qualified candidates.</w:t>
      </w:r>
    </w:p>
    <w:bookmarkEnd w:id="29"/>
    <w:bookmarkStart w:id="30" w:name="conclusion"/>
    <w:p>
      <w:pPr>
        <w:pStyle w:val="Heading2"/>
      </w:pPr>
      <w:r>
        <w:t xml:space="preserve">Conclusion</w:t>
      </w:r>
    </w:p>
    <w:p>
      <w:pPr>
        <w:pStyle w:val="FirstParagraph"/>
      </w:pPr>
      <w:r>
        <w:t xml:space="preserve">This Marketing Plan positions Canada Vancouver as the undisputed epicenter for Medical Research careers in Canada. By merging hyper-localized tactics (e.g., UBC partnerships, BC-specific tax incentives) with global outreach, we attract researchers who prioritize both professional growth and a sustainable lifestyle. Success is measured not just in filled roles but in embedding our institution into Vancouver’s research community as an employer of choice—ensuring long-term talent retention within the province. The Medical Researcher role becomes synonymous with Canada Vancouver’s innovation promise: where breakthroughs thrive amid breathtaking natural beauty.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Canada Vancouver</dc:title>
  <dc:creator/>
  <dc:language>en</dc:language>
  <cp:keywords/>
  <dcterms:created xsi:type="dcterms:W3CDTF">2026-07-23T22:17:57Z</dcterms:created>
  <dcterms:modified xsi:type="dcterms:W3CDTF">2026-07-23T22:17:57Z</dcterms:modified>
</cp:coreProperties>
</file>

<file path=docProps/custom.xml><?xml version="1.0" encoding="utf-8"?>
<Properties xmlns="http://schemas.openxmlformats.org/officeDocument/2006/custom-properties" xmlns:vt="http://schemas.openxmlformats.org/officeDocument/2006/docPropsVTypes"/>
</file>