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China</w:t>
      </w:r>
      <w:r>
        <w:t xml:space="preserve"> </w:t>
      </w:r>
      <w:r>
        <w:t xml:space="preserve">Guangzhou</w:t>
      </w:r>
    </w:p>
    <w:bookmarkStart w:id="33" w:name="Xc010eb6604af0d441038dcaf093f73bd0508a24"/>
    <w:p>
      <w:pPr>
        <w:pStyle w:val="Heading1"/>
      </w:pPr>
      <w:r>
        <w:t xml:space="preserve">Comprehensive Marketing Plan for Medical Researcher Recruitment in China Guangzhou</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Medical Researchers to positions within Guangzhou's burgeoning healthcare ecosystem. As China's southern economic hub and a designated National Health Innovation Zone, Guangzhou offers unparalleled opportunities for medical research advancement. This plan leverages Guangzhou's unique biomedical landscape to position key research roles as career-defining opportunities, directly addressing the city's urgent need for specialized talent in pharmaceutical development, genomic studies, and public health innovation. The initiative targets global professionals seeking impactful careers within China's rapidly evolving healthcare market.</w:t>
      </w:r>
    </w:p>
    <w:bookmarkEnd w:id="20"/>
    <w:bookmarkStart w:id="21" w:name="X6a33c9e3916551dca0f16567b15949e30507003"/>
    <w:p>
      <w:pPr>
        <w:pStyle w:val="Heading2"/>
      </w:pPr>
      <w:r>
        <w:t xml:space="preserve">Market Analysis: Guangzhou's Medical Research Landscape</w:t>
      </w:r>
    </w:p>
    <w:p>
      <w:pPr>
        <w:pStyle w:val="FirstParagraph"/>
      </w:pPr>
      <w:r>
        <w:t xml:space="preserve">Guangzhou ranks among China's top three cities for medical research investment (China National Statistics Bureau, 2023), with the Guangzhou International Health Innovation Park hosting 17 major R&amp;D centers and generating $4.8B in annual biotech output. The city's strategic focus on "Healthy Guangdong 2035" initiative creates a critical talent gap: over 6,200 Medical Researcher positions remain unfilled across hospitals, universities (including Sun Yat-sen University), and pharmaceutical giants like Fosun Pharma. Current recruitment struggles stem from insufficient global visibility of these opportunities and misalignment with international researcher expectations regarding career progression and research autonomy. Our marketing strategy directly counters these challenges by positioning Guangzhou as a premier destination for medical research innovation.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PhD holders in clinical research (5-10 years experience), particularly in oncology, infectious diseases, and AI-driven drug discovery. Targeting professionals aged 35-45 seeking international exposure with China's growing market access.</w:t>
      </w:r>
    </w:p>
    <w:p>
      <w:pPr>
        <w:numPr>
          <w:ilvl w:val="0"/>
          <w:numId w:val="1001"/>
        </w:numPr>
        <w:pStyle w:val="Compact"/>
      </w:pPr>
      <w:r>
        <w:rPr>
          <w:bCs/>
          <w:b/>
        </w:rPr>
        <w:t xml:space="preserve">Secondary:</w:t>
      </w:r>
      <w:r>
        <w:t xml:space="preserve"> </w:t>
      </w:r>
      <w:r>
        <w:t xml:space="preserve">Early-career researchers (postdocs) from top global institutions (MIT, ETH Zurich), attracted by Guangzhou's high-impact projects and relocation support packages.</w:t>
      </w:r>
    </w:p>
    <w:p>
      <w:pPr>
        <w:numPr>
          <w:ilvl w:val="0"/>
          <w:numId w:val="1001"/>
        </w:numPr>
        <w:pStyle w:val="Compact"/>
      </w:pPr>
      <w:r>
        <w:rPr>
          <w:bCs/>
          <w:b/>
        </w:rPr>
        <w:t xml:space="preserve">Tertiary:</w:t>
      </w:r>
      <w:r>
        <w:t xml:space="preserve"> </w:t>
      </w:r>
      <w:r>
        <w:t xml:space="preserve">Academic institutions in Southeast Asia and Europe for talent referral partnerships.</w:t>
      </w:r>
    </w:p>
    <w:bookmarkEnd w:id="22"/>
    <w:bookmarkStart w:id="23" w:name="marketing-objectives"/>
    <w:p>
      <w:pPr>
        <w:pStyle w:val="Heading2"/>
      </w:pPr>
      <w:r>
        <w:t xml:space="preserve">Marketing Objectives</w:t>
      </w:r>
    </w:p>
    <w:p>
      <w:pPr>
        <w:pStyle w:val="FirstParagraph"/>
      </w:pPr>
      <w:r>
        <w:t xml:space="preserve">Achieve 85% vacancy fill rate for Medical Researcher roles within 12 months</w:t>
      </w:r>
    </w:p>
    <w:p>
      <w:pPr>
        <w:pStyle w:val="BodyText"/>
      </w:pPr>
      <w:r>
        <w:t xml:space="preserve">Create brand recognition as the "Top Employer for Medical Researchers in China" (measured by LinkedIn employer survey)</w:t>
      </w:r>
    </w:p>
    <w:bookmarkEnd w:id="23"/>
    <w:bookmarkStart w:id="28" w:name="integrated-marketing-strategies"/>
    <w:p>
      <w:pPr>
        <w:pStyle w:val="Heading2"/>
      </w:pPr>
      <w:r>
        <w:t xml:space="preserve">Integrated Marketing Strategies</w:t>
      </w:r>
    </w:p>
    <w:bookmarkStart w:id="25" w:name="digital-precision-targeting"/>
    <w:p>
      <w:pPr>
        <w:pStyle w:val="Heading3"/>
      </w:pPr>
      <w:r>
        <w:t xml:space="preserve">Digital Precision Targeting</w:t>
      </w:r>
    </w:p>
    <w:p>
      <w:pPr>
        <w:pStyle w:val="FirstParagraph"/>
      </w:pPr>
      <w:r>
        <w:t xml:space="preserve">We deploy AI-driven LinkedIn campaigns with geo-filters targeting Guangzhou-based research hubs while using keyword-rich content ("Medical Researcher opportunities Guangzhou", "China biomedical careers") to capture international search traffic. A dedicated microsite (</w:t>
      </w:r>
      <w:hyperlink r:id="rId24">
        <w:r>
          <w:rPr>
            <w:rStyle w:val="Hyperlink"/>
          </w:rPr>
          <w:t xml:space="preserve">guangzhou-medresearch.com</w:t>
        </w:r>
      </w:hyperlink>
      <w:r>
        <w:t xml:space="preserve">) features:</w:t>
      </w:r>
    </w:p>
    <w:p>
      <w:pPr>
        <w:numPr>
          <w:ilvl w:val="0"/>
          <w:numId w:val="1003"/>
        </w:numPr>
        <w:pStyle w:val="Compact"/>
      </w:pPr>
      <w:r>
        <w:t xml:space="preserve">Interactive city guide highlighting Guangzhou's research infrastructure (e.g., "5-minute walk from Sun Yat-sen University to 3G-enabled labs")</w:t>
      </w:r>
    </w:p>
    <w:p>
      <w:pPr>
        <w:numPr>
          <w:ilvl w:val="0"/>
          <w:numId w:val="1003"/>
        </w:numPr>
        <w:pStyle w:val="Compact"/>
      </w:pPr>
      <w:r>
        <w:t xml:space="preserve">Videos of current Medical Researchers discussing career growth in Guangzhou</w:t>
      </w:r>
    </w:p>
    <w:p>
      <w:pPr>
        <w:numPr>
          <w:ilvl w:val="0"/>
          <w:numId w:val="1003"/>
        </w:numPr>
        <w:pStyle w:val="Compact"/>
      </w:pPr>
      <w:r>
        <w:t xml:space="preserve">Live Q&amp;A sessions with HR teams during Shanghai time zones (6-8 PM GMT) for global accessibility</w:t>
      </w:r>
    </w:p>
    <w:bookmarkEnd w:id="25"/>
    <w:bookmarkStart w:id="26" w:name="strategic-partnerships"/>
    <w:p>
      <w:pPr>
        <w:pStyle w:val="Heading3"/>
      </w:pPr>
      <w:r>
        <w:t xml:space="preserve">Strategic Partnerships</w:t>
      </w:r>
    </w:p>
    <w:p>
      <w:pPr>
        <w:pStyle w:val="FirstParagraph"/>
      </w:pPr>
      <w:r>
        <w:t xml:space="preserve">Collaborate with key stakeholders to validate credibility and expand reach:</w:t>
      </w:r>
    </w:p>
    <w:p>
      <w:pPr>
        <w:numPr>
          <w:ilvl w:val="0"/>
          <w:numId w:val="1004"/>
        </w:numPr>
        <w:pStyle w:val="Compact"/>
      </w:pPr>
      <w:r>
        <w:rPr>
          <w:bCs/>
          <w:b/>
        </w:rPr>
        <w:t xml:space="preserve">Academic Alliances:</w:t>
      </w:r>
      <w:r>
        <w:t xml:space="preserve"> </w:t>
      </w:r>
      <w:r>
        <w:t xml:space="preserve">Co-host webinars with Guangzhou Medical University on "Research Careers in Southern China" (200+ institutions targeted)</w:t>
      </w:r>
    </w:p>
    <w:p>
      <w:pPr>
        <w:numPr>
          <w:ilvl w:val="0"/>
          <w:numId w:val="1004"/>
        </w:numPr>
        <w:pStyle w:val="Compact"/>
      </w:pPr>
      <w:r>
        <w:rPr>
          <w:bCs/>
          <w:b/>
        </w:rPr>
        <w:t xml:space="preserve">Industry Synergy:</w:t>
      </w:r>
      <w:r>
        <w:t xml:space="preserve"> </w:t>
      </w:r>
      <w:r>
        <w:t xml:space="preserve">Joint campaigns with Fosun Pharma and BGI Group showcasing real projects (e.g., "CRISPR Research at Guangzhou Biobank")</w:t>
      </w:r>
    </w:p>
    <w:p>
      <w:pPr>
        <w:numPr>
          <w:ilvl w:val="0"/>
          <w:numId w:val="1004"/>
        </w:numPr>
        <w:pStyle w:val="Compact"/>
      </w:pPr>
      <w:r>
        <w:rPr>
          <w:bCs/>
          <w:b/>
        </w:rPr>
        <w:t xml:space="preserve">Government Endorsement:</w:t>
      </w:r>
      <w:r>
        <w:t xml:space="preserve"> </w:t>
      </w:r>
      <w:r>
        <w:t xml:space="preserve">Leverage Guangzhou's Talent Bureau "Green Channel" program for expedited work permits (featured prominently in all materials)</w:t>
      </w:r>
    </w:p>
    <w:bookmarkEnd w:id="26"/>
    <w:bookmarkStart w:id="27" w:name="cultural-positioning-localization"/>
    <w:p>
      <w:pPr>
        <w:pStyle w:val="Heading3"/>
      </w:pPr>
      <w:r>
        <w:t xml:space="preserve">Cultural Positioning &amp; Localization</w:t>
      </w:r>
    </w:p>
    <w:p>
      <w:pPr>
        <w:pStyle w:val="FirstParagraph"/>
      </w:pPr>
      <w:r>
        <w:t xml:space="preserve">Avoiding generic "China" messaging, we emphasize Guangzhou-specific cultural integration:</w:t>
      </w:r>
    </w:p>
    <w:p>
      <w:pPr>
        <w:numPr>
          <w:ilvl w:val="0"/>
          <w:numId w:val="1005"/>
        </w:numPr>
        <w:pStyle w:val="Compact"/>
      </w:pPr>
      <w:r>
        <w:t xml:space="preserve">Content highlighting Guangzhou's 24/7 medical research environment with English-speaking teams and international schools</w:t>
      </w:r>
    </w:p>
    <w:p>
      <w:pPr>
        <w:numPr>
          <w:ilvl w:val="0"/>
          <w:numId w:val="1005"/>
        </w:numPr>
        <w:pStyle w:val="Compact"/>
      </w:pPr>
      <w:r>
        <w:t xml:space="preserve">Testimonials from current researchers: "My Medical Research project in Guangzhou achieved FDA validation faster due to local regulatory partnerships"</w:t>
      </w:r>
    </w:p>
    <w:p>
      <w:pPr>
        <w:numPr>
          <w:ilvl w:val="0"/>
          <w:numId w:val="1005"/>
        </w:numPr>
        <w:pStyle w:val="Compact"/>
      </w:pPr>
      <w:r>
        <w:t xml:space="preserve">Marketing materials available in Mandarin/English with culturally nuanced messaging (e.g., emphasizing "collective achievement" values over individualistic claims)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Digital Advertising (LinkedIn, Google)</w:t>
            </w:r>
          </w:p>
        </w:tc>
        <w:tc>
          <w:tcPr/>
          <w:p>
            <w:pPr>
              <w:pStyle w:val="Compact"/>
              <w:jc w:val="left"/>
            </w:pPr>
            <w:r>
              <w:t xml:space="preserve">$85,000</w:t>
            </w:r>
          </w:p>
        </w:tc>
        <w:tc>
          <w:tcPr/>
          <w:p>
            <w:pPr>
              <w:pStyle w:val="Compact"/>
              <w:jc w:val="left"/>
            </w:pPr>
            <w:r>
              <w:t xml:space="preserve">5x: 62% application conversion from targeted leads</w:t>
            </w:r>
          </w:p>
        </w:tc>
      </w:tr>
      <w:tr>
        <w:tc>
          <w:tcPr/>
          <w:p>
            <w:pPr>
              <w:pStyle w:val="Compact"/>
              <w:jc w:val="left"/>
            </w:pPr>
            <w:r>
              <w:t xml:space="preserve">Academic Partnership Events</w:t>
            </w:r>
          </w:p>
        </w:tc>
        <w:tc>
          <w:tcPr/>
          <w:p>
            <w:pPr>
              <w:pStyle w:val="Compact"/>
              <w:jc w:val="left"/>
            </w:pPr>
            <w:r>
              <w:t xml:space="preserve">$42,000</w:t>
            </w:r>
          </w:p>
        </w:tc>
        <w:tc>
          <w:tcPr/>
          <w:p>
            <w:pPr>
              <w:pStyle w:val="Compact"/>
              <w:jc w:val="left"/>
            </w:pPr>
            <w:r>
              <w:t xml:space="preserve">3.8x: 187 quality candidates per event</w:t>
            </w:r>
          </w:p>
        </w:tc>
      </w:tr>
      <w:tr>
        <w:tc>
          <w:tcPr/>
          <w:p>
            <w:pPr>
              <w:pStyle w:val="Compact"/>
              <w:jc w:val="left"/>
            </w:pPr>
            <w:r>
              <w:t xml:space="preserve">Content Production (Videos, Microsite)</w:t>
            </w:r>
          </w:p>
        </w:tc>
        <w:tc>
          <w:tcPr/>
          <w:p>
            <w:pPr>
              <w:pStyle w:val="Compact"/>
              <w:jc w:val="left"/>
            </w:pPr>
            <w:r>
              <w:t xml:space="preserve">$58,000</w:t>
            </w:r>
          </w:p>
        </w:tc>
        <w:tc>
          <w:tcPr/>
          <w:p>
            <w:pPr>
              <w:pStyle w:val="Compact"/>
              <w:jc w:val="left"/>
            </w:pPr>
            <w:r>
              <w:t xml:space="preserve">7x: 65% engagement rate on mobile content</w:t>
            </w:r>
          </w:p>
        </w:tc>
      </w:tr>
      <w:tr>
        <w:tc>
          <w:tcPr/>
          <w:p>
            <w:pPr>
              <w:pStyle w:val="Compact"/>
              <w:jc w:val="left"/>
            </w:pPr>
            <w:r>
              <w:t xml:space="preserve">Talent Agency Fees (Specialized Recruiters)</w:t>
            </w:r>
          </w:p>
        </w:tc>
        <w:tc>
          <w:tcPr/>
          <w:p>
            <w:pPr>
              <w:pStyle w:val="Compact"/>
              <w:jc w:val="left"/>
            </w:pPr>
            <w:r>
              <w:t xml:space="preserve">$35,000</w:t>
            </w:r>
          </w:p>
        </w:tc>
        <w:tc>
          <w:tcPr/>
          <w:p>
            <w:pPr>
              <w:pStyle w:val="Compact"/>
              <w:jc w:val="left"/>
            </w:pPr>
            <w:r>
              <w:t xml:space="preserve">4.1x: 82% of hires through agency referrals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microsite launch, partnership agreements with Guangzhou Medical University and Fosun Pharma.</w:t>
      </w:r>
    </w:p>
    <w:p>
      <w:pPr>
        <w:pStyle w:val="BodyText"/>
      </w:pPr>
      <w:r>
        <w:rPr>
          <w:bCs/>
          <w:b/>
        </w:rPr>
        <w:t xml:space="preserve">Months 4-6:</w:t>
      </w:r>
      <w:r>
        <w:t xml:space="preserve"> </w:t>
      </w:r>
      <w:r>
        <w:t xml:space="preserve">Digital campaign rollout, first webinar series ("Research in Guangzhou: The Next Frontier"), recruitment fair at Canton Fair Center.</w:t>
      </w:r>
    </w:p>
    <w:p>
      <w:pPr>
        <w:pStyle w:val="BodyText"/>
      </w:pPr>
      <w:r>
        <w:rPr>
          <w:bCs/>
          <w:b/>
        </w:rPr>
        <w:t xml:space="preserve">Months 7-9:</w:t>
      </w:r>
      <w:r>
        <w:t xml:space="preserve"> </w:t>
      </w:r>
      <w:r>
        <w:t xml:space="preserve">Localized content push (Mandarin video testimonials), government incentive program integration for applicants.</w:t>
      </w:r>
    </w:p>
    <w:p>
      <w:pPr>
        <w:pStyle w:val="BodyText"/>
      </w:pPr>
      <w:r>
        <w:rPr>
          <w:bCs/>
          <w:b/>
        </w:rPr>
        <w:t xml:space="preserve">Months 10-12:</w:t>
      </w:r>
      <w:r>
        <w:t xml:space="preserve"> </w:t>
      </w:r>
      <w:r>
        <w:t xml:space="preserve">Performance review, scaling successful channels, Year 2 strategic planning with Guangzhou Health Bureau.</w:t>
      </w:r>
    </w:p>
    <w:bookmarkEnd w:id="30"/>
    <w:bookmarkStart w:id="31" w:name="kpis-measurement"/>
    <w:p>
      <w:pPr>
        <w:pStyle w:val="Heading2"/>
      </w:pPr>
      <w:r>
        <w:t xml:space="preserve">KPIs &amp; Measurement</w:t>
      </w:r>
    </w:p>
    <w:p>
      <w:pPr>
        <w:numPr>
          <w:ilvl w:val="0"/>
          <w:numId w:val="1006"/>
        </w:numPr>
        <w:pStyle w:val="Compact"/>
      </w:pPr>
      <w:r>
        <w:rPr>
          <w:bCs/>
          <w:b/>
        </w:rPr>
        <w:t xml:space="preserve">Talent Acquisition:</w:t>
      </w:r>
      <w:r>
        <w:t xml:space="preserve"> </w:t>
      </w:r>
      <w:r>
        <w:t xml:space="preserve">Time-to-hire (target: ≤85 days), quality-of-hire (measured by 6-month retention rate)</w:t>
      </w:r>
    </w:p>
    <w:p>
      <w:pPr>
        <w:numPr>
          <w:ilvl w:val="0"/>
          <w:numId w:val="1006"/>
        </w:numPr>
        <w:pStyle w:val="Compact"/>
      </w:pPr>
      <w:r>
        <w:rPr>
          <w:bCs/>
          <w:b/>
        </w:rPr>
        <w:t xml:space="preserve">Brand Metrics:</w:t>
      </w:r>
      <w:r>
        <w:t xml:space="preserve"> </w:t>
      </w:r>
      <w:r>
        <w:t xml:space="preserve">Website traffic from target regions (&gt;40% international), social media engagement rate (&gt;12%)</w:t>
      </w:r>
    </w:p>
    <w:p>
      <w:pPr>
        <w:numPr>
          <w:ilvl w:val="0"/>
          <w:numId w:val="1006"/>
        </w:numPr>
        <w:pStyle w:val="Compact"/>
      </w:pPr>
      <w:r>
        <w:rPr>
          <w:bCs/>
          <w:b/>
        </w:rPr>
        <w:t xml:space="preserve">Market Impact:</w:t>
      </w:r>
      <w:r>
        <w:t xml:space="preserve"> </w:t>
      </w:r>
      <w:r>
        <w:t xml:space="preserve">Increase in Guangzhou Medical Researcher roles cited in global job boards (e.g., Nature Careers, 35% YoY growth)</w:t>
      </w:r>
    </w:p>
    <w:bookmarkEnd w:id="31"/>
    <w:bookmarkStart w:id="32" w:name="Xe90668c571b8429ab57e7f85031dfccd90a69c7"/>
    <w:p>
      <w:pPr>
        <w:pStyle w:val="Heading2"/>
      </w:pPr>
      <w:r>
        <w:t xml:space="preserve">Conclusion: Why Guangzhou Leads China's Medical Research Revolution</w:t>
      </w:r>
    </w:p>
    <w:p>
      <w:pPr>
        <w:pStyle w:val="FirstParagraph"/>
      </w:pPr>
      <w:r>
        <w:t xml:space="preserve">This Marketing Plan transforms the perception of Guangzhou from a "secondary Chinese city" to an indispensable hub for medical research innovation. By strategically framing each Medical Researcher opportunity within Guangzhou's unique ecosystem—combining world-class infrastructure, government support, and cultural accessibility—we position the city as the premier destination for global talent seeking to shape healthcare's future. The campaign directly addresses China Guangzhou's strategic priority of becoming Asia's top biomedical innovation center by closing the talent gap with a solution that respects researchers' professional ambitions while celebrating Guangzhou’s distinctive advantages. This is not merely recruitment; it is building a sustainable pipeline for China’s next generation of medical breakthroughs in its most dynamic research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guangzhou-medresearch.com" TargetMode="External" /></Relationships>
</file>

<file path=word/_rels/footnotes.xml.rels><?xml version="1.0" encoding="UTF-8"?><Relationships xmlns="http://schemas.openxmlformats.org/package/2006/relationships"><Relationship Type="http://schemas.openxmlformats.org/officeDocument/2006/relationships/hyperlink" Id="rId24" Target="www.guangzhou-me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China Guangzhou</dc:title>
  <dc:creator/>
  <dc:language>en</dc:language>
  <cp:keywords/>
  <dcterms:created xsi:type="dcterms:W3CDTF">2026-07-25T06:16:56Z</dcterms:created>
  <dcterms:modified xsi:type="dcterms:W3CDTF">2026-07-25T06:16:56Z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