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31" w:name="X5c4800a4c5dae33a4892953740a6e152c52f9ae"/>
    <w:p>
      <w:pPr>
        <w:pStyle w:val="Heading1"/>
      </w:pPr>
      <w:r>
        <w:t xml:space="preserve">Comprehensive Marketing Plan for Attracting Elite Medical Researchers to Medellín, Colombia</w:t>
      </w:r>
    </w:p>
    <w:bookmarkStart w:id="20" w:name="executive-summary"/>
    <w:p>
      <w:pPr>
        <w:pStyle w:val="Heading2"/>
      </w:pPr>
      <w:r>
        <w:t xml:space="preserve">Executive Summary</w:t>
      </w:r>
    </w:p>
    <w:p>
      <w:pPr>
        <w:pStyle w:val="FirstParagraph"/>
      </w:pPr>
      <w:r>
        <w:t xml:space="preserve">This Marketing Plan outlines a strategic campaign to recruit highly qualified Medical Researchers for our premier research institution in Medellín, Colombia. With Medellín's emergence as a regional hub for biomedical innovation and the urgent need to strengthen local clinical research capacity, this initiative targets top-tier scientific talent globally while emphasizing Colombia Medellín's unique advantages. The plan leverages Medellín’s vibrant ecosystem of academic institutions, biotech startups, and government incentives to position the Medical Researcher role as an unparalleled career opportunity in Latin America. By 2025, we aim to fill 15 key research positions with candidates who will drive breakthroughs in oncology and neurodegenerative diseases while contributing to Medellín’s transformation into a global health innovation center.</w:t>
      </w:r>
    </w:p>
    <w:bookmarkEnd w:id="20"/>
    <w:bookmarkStart w:id="21" w:name="X6dfa89fbd13ec9d217a0f2f328944ead615c5ea"/>
    <w:p>
      <w:pPr>
        <w:pStyle w:val="Heading2"/>
      </w:pPr>
      <w:r>
        <w:t xml:space="preserve">Market Analysis: Colombia Medellín's Research Landscape</w:t>
      </w:r>
    </w:p>
    <w:p>
      <w:pPr>
        <w:pStyle w:val="FirstParagraph"/>
      </w:pPr>
      <w:r>
        <w:t xml:space="preserve">Colombia Medellín has undergone a remarkable evolution from a city associated with violence to becoming Latin America's most dynamic hub for medical innovation. With 70+ research institutions, 15 biotech companies, and government programs like "Innovate Colombia" offering tax incentives for R&amp;D (up to 100% deduction), Medellín presents an ideal environment for scientific advancement. The city’s strategic location in the Andes provides access to diverse patient populations essential for clinical trials. However, a critical talent gap persists: only 28% of Colombian medical research positions are filled by local graduates, creating a $35M annual shortfall in specialized capacity (Colombian Ministry of Health, 2023). This plan directly addresses this gap by positioning Medellín as the destination for world-class Medical Researcher talent seeking impact-driven careers.</w:t>
      </w:r>
    </w:p>
    <w:bookmarkEnd w:id="21"/>
    <w:bookmarkStart w:id="22" w:name="Xf024805ec6f3bcf1458fb1d6a67f5672604a981"/>
    <w:p>
      <w:pPr>
        <w:pStyle w:val="Heading2"/>
      </w:pPr>
      <w:r>
        <w:t xml:space="preserve">Target Audience: The Ideal Medical Researcher Profile</w:t>
      </w:r>
    </w:p>
    <w:p>
      <w:pPr>
        <w:pStyle w:val="FirstParagraph"/>
      </w:pPr>
      <w:r>
        <w:t xml:space="preserve">We target three primary segments:</w:t>
      </w:r>
    </w:p>
    <w:p>
      <w:pPr>
        <w:numPr>
          <w:ilvl w:val="0"/>
          <w:numId w:val="1001"/>
        </w:numPr>
        <w:pStyle w:val="Compact"/>
      </w:pPr>
      <w:r>
        <w:rPr>
          <w:bCs/>
          <w:b/>
        </w:rPr>
        <w:t xml:space="preserve">Early-Career Researchers (PhD/M.D. within 5 years)</w:t>
      </w:r>
      <w:r>
        <w:t xml:space="preserve">: Seeking mentorship, competitive salaries (30% above national average), and international collaboration opportunities. They prioritize career acceleration in a city with lower cost of living than Bogotá or Miami.</w:t>
      </w:r>
    </w:p>
    <w:p>
      <w:pPr>
        <w:numPr>
          <w:ilvl w:val="0"/>
          <w:numId w:val="1001"/>
        </w:numPr>
        <w:pStyle w:val="Compact"/>
      </w:pPr>
      <w:r>
        <w:rPr>
          <w:bCs/>
          <w:b/>
        </w:rPr>
        <w:t xml:space="preserve">Mid-Career Researchers (5-10 years experience)</w:t>
      </w:r>
      <w:r>
        <w:t xml:space="preserve">: Attracted by Medellín’s emerging ecosystem, they value research autonomy and access to Colombia’s diverse genetic patient populations for rare disease studies.</w:t>
      </w:r>
    </w:p>
    <w:p>
      <w:pPr>
        <w:numPr>
          <w:ilvl w:val="0"/>
          <w:numId w:val="1001"/>
        </w:numPr>
        <w:pStyle w:val="Compact"/>
      </w:pPr>
      <w:r>
        <w:rPr>
          <w:bCs/>
          <w:b/>
        </w:rPr>
        <w:t xml:space="preserve">Established International Scientists</w:t>
      </w:r>
      <w:r>
        <w:t xml:space="preserve">: Targeted through partnerships with universities like Universidad de Antioquia and international bodies (WHO, NIH), offering relocation support and local cultural immersion programs.</w:t>
      </w:r>
    </w:p>
    <w:bookmarkEnd w:id="22"/>
    <w:bookmarkStart w:id="23" w:name="X272a50364ef8e54aa4b7f1c9b4bee47fb79bc54"/>
    <w:p>
      <w:pPr>
        <w:pStyle w:val="Heading2"/>
      </w:pPr>
      <w:r>
        <w:t xml:space="preserve">Unique Value Proposition: Why Choose Medellín?</w:t>
      </w:r>
    </w:p>
    <w:p>
      <w:pPr>
        <w:pStyle w:val="FirstParagraph"/>
      </w:pPr>
      <w:r>
        <w:t xml:space="preserve">The Medical Researcher role in Colombia Medellín offers a compelling value proposition centered on three pillars:</w:t>
      </w:r>
    </w:p>
    <w:p>
      <w:pPr>
        <w:numPr>
          <w:ilvl w:val="0"/>
          <w:numId w:val="1002"/>
        </w:numPr>
        <w:pStyle w:val="Compact"/>
      </w:pPr>
      <w:r>
        <w:rPr>
          <w:bCs/>
          <w:b/>
        </w:rPr>
        <w:t xml:space="preserve">Scientific Impact</w:t>
      </w:r>
      <w:r>
        <w:t xml:space="preserve">: Direct involvement in cutting-edge projects like the "Medellín Cancer Genome Initiative," collaborating with the National Center for Research and Development (CINVESTAV) to address diseases prevalent in Latin America.</w:t>
      </w:r>
    </w:p>
    <w:p>
      <w:pPr>
        <w:numPr>
          <w:ilvl w:val="0"/>
          <w:numId w:val="1002"/>
        </w:numPr>
        <w:pStyle w:val="Compact"/>
      </w:pPr>
      <w:r>
        <w:rPr>
          <w:bCs/>
          <w:b/>
        </w:rPr>
        <w:t xml:space="preserve">Lifestyle Advantage</w:t>
      </w:r>
      <w:r>
        <w:t xml:space="preserve">: Competitive salary package ($65,000-$85,000 USD annually) combined with Medellín’s status as Colombia’s #1 city for quality of life (2023 Numbeo ranking). Candidates enjoy year-round spring weather, world-class gastronomy, and proximity to Andean hiking trails within 15 minutes.</w:t>
      </w:r>
    </w:p>
    <w:bookmarkEnd w:id="23"/>
    <w:bookmarkStart w:id="27" w:name="marketing-strategies-tactics"/>
    <w:p>
      <w:pPr>
        <w:pStyle w:val="Heading2"/>
      </w:pPr>
      <w:r>
        <w:t xml:space="preserve">Marketing Strategies &amp; Tactics</w:t>
      </w:r>
    </w:p>
    <w:p>
      <w:pPr>
        <w:pStyle w:val="FirstParagraph"/>
      </w:pPr>
      <w:r>
        <w:t xml:space="preserve">Our integrated campaign utilizes both digital and hyperlocal strategies:</w:t>
      </w:r>
    </w:p>
    <w:bookmarkStart w:id="24" w:name="digital-campaigns-60-of-budget"/>
    <w:p>
      <w:pPr>
        <w:pStyle w:val="Heading3"/>
      </w:pPr>
      <w:r>
        <w:t xml:space="preserve">Digital Campaigns (60% of budget)</w:t>
      </w:r>
    </w:p>
    <w:p>
      <w:pPr>
        <w:numPr>
          <w:ilvl w:val="0"/>
          <w:numId w:val="1003"/>
        </w:numPr>
        <w:pStyle w:val="Compact"/>
      </w:pPr>
      <w:r>
        <w:rPr>
          <w:bCs/>
          <w:b/>
        </w:rPr>
        <w:t xml:space="preserve">Geo-Targeted LinkedIn Campaigns</w:t>
      </w:r>
      <w:r>
        <w:t xml:space="preserve">: Focus on medical research hubs in U.S. (Boston, San Francisco), EU (Basel, London), and key Latin American cities. Content highlights Medellín’s research infrastructure: "Work at 50% lower cost than Boston while collaborating with leading oncologists."</w:t>
      </w:r>
    </w:p>
    <w:p>
      <w:pPr>
        <w:numPr>
          <w:ilvl w:val="0"/>
          <w:numId w:val="1003"/>
        </w:numPr>
        <w:pStyle w:val="Compact"/>
      </w:pPr>
      <w:r>
        <w:rPr>
          <w:bCs/>
          <w:b/>
        </w:rPr>
        <w:t xml:space="preserve">Video Testimonials</w:t>
      </w:r>
      <w:r>
        <w:t xml:space="preserve">: Short documentaries featuring current researchers discussing their work in Medellín (e.g., "My clinical trial on Alzheimer’s biomarkers in Antioquia’s communities") shared via Instagram and YouTube.</w:t>
      </w:r>
    </w:p>
    <w:p>
      <w:pPr>
        <w:numPr>
          <w:ilvl w:val="0"/>
          <w:numId w:val="1003"/>
        </w:numPr>
        <w:pStyle w:val="Compact"/>
      </w:pPr>
      <w:r>
        <w:rPr>
          <w:bCs/>
          <w:b/>
        </w:rPr>
        <w:t xml:space="preserve">Virtual Research Open House</w:t>
      </w:r>
      <w:r>
        <w:t xml:space="preserve">: Monthly live sessions with Medellín-based scientists, including virtual tours of our state-of-the-art labs at the Universidad EAFIT research complex.</w:t>
      </w:r>
    </w:p>
    <w:bookmarkEnd w:id="24"/>
    <w:bookmarkStart w:id="25" w:name="hyperlocal-engagement-30-of-budget"/>
    <w:p>
      <w:pPr>
        <w:pStyle w:val="Heading3"/>
      </w:pPr>
      <w:r>
        <w:t xml:space="preserve">Hyperlocal Engagement (30% of budget)</w:t>
      </w:r>
    </w:p>
    <w:p>
      <w:pPr>
        <w:numPr>
          <w:ilvl w:val="0"/>
          <w:numId w:val="1004"/>
        </w:numPr>
        <w:pStyle w:val="Compact"/>
      </w:pPr>
      <w:r>
        <w:rPr>
          <w:bCs/>
          <w:b/>
        </w:rPr>
        <w:t xml:space="preserve">University Partnerships</w:t>
      </w:r>
      <w:r>
        <w:t xml:space="preserve">: Collaborating with Universidad Nacional de Colombia, Medellín campus, and Pontificia Universidad Javeriana to host "Medical Researcher Career Fairs" featuring on-site interviews.</w:t>
      </w:r>
    </w:p>
    <w:p>
      <w:pPr>
        <w:numPr>
          <w:ilvl w:val="0"/>
          <w:numId w:val="1004"/>
        </w:numPr>
        <w:pStyle w:val="Compact"/>
      </w:pPr>
      <w:r>
        <w:rPr>
          <w:bCs/>
          <w:b/>
        </w:rPr>
        <w:t xml:space="preserve">Community Events</w:t>
      </w:r>
      <w:r>
        <w:t xml:space="preserve">: Sponsorship of Medellín’s annual "Innovación en Salud" conference with booth showcasing real-time research data from Colombia’s Andean region.</w:t>
      </w:r>
    </w:p>
    <w:p>
      <w:pPr>
        <w:numPr>
          <w:ilvl w:val="0"/>
          <w:numId w:val="1004"/>
        </w:numPr>
        <w:pStyle w:val="Compact"/>
      </w:pPr>
      <w:r>
        <w:rPr>
          <w:bCs/>
          <w:b/>
        </w:rPr>
        <w:t xml:space="preserve">Media Partnerships</w:t>
      </w:r>
      <w:r>
        <w:t xml:space="preserve">: Feature articles in Colombian health publications (e.g., Revista de Salud Pública) and international journals (Nature Latin America) highlighting Medellín’s rise as a research destination.</w:t>
      </w:r>
    </w:p>
    <w:bookmarkEnd w:id="25"/>
    <w:bookmarkStart w:id="26" w:name="X2e63f6c3ec8878666520744de61b442480364f7"/>
    <w:p>
      <w:pPr>
        <w:pStyle w:val="Heading3"/>
      </w:pPr>
      <w:r>
        <w:t xml:space="preserve">International Talent Attraction (10% of budget)</w:t>
      </w:r>
    </w:p>
    <w:p>
      <w:pPr>
        <w:numPr>
          <w:ilvl w:val="0"/>
          <w:numId w:val="1005"/>
        </w:numPr>
        <w:pStyle w:val="Compact"/>
      </w:pPr>
      <w:r>
        <w:rPr>
          <w:bCs/>
          <w:b/>
        </w:rPr>
        <w:t xml:space="preserve">Relocation Package</w:t>
      </w:r>
      <w:r>
        <w:t xml:space="preserve">: Includes visa assistance, 6-month housing stipend, and cultural orientation with Medellín’s "Welcome to Colombia" initiative.</w:t>
      </w:r>
    </w:p>
    <w:p>
      <w:pPr>
        <w:numPr>
          <w:ilvl w:val="0"/>
          <w:numId w:val="1005"/>
        </w:numPr>
        <w:pStyle w:val="Compact"/>
      </w:pPr>
      <w:r>
        <w:rPr>
          <w:bCs/>
          <w:b/>
        </w:rPr>
        <w:t xml:space="preserve">Global Ambassador Program</w:t>
      </w:r>
      <w:r>
        <w:t xml:space="preserve">: Recruit current Medical Researchers in Medellín to share their experiences via virtual panels at conferences like the American Society of Clinical Oncology (ASCO) meeting.</w:t>
      </w:r>
    </w:p>
    <w:bookmarkEnd w:id="26"/>
    <w:bookmarkEnd w:id="27"/>
    <w:bookmarkStart w:id="28" w:name="budget-allocation-350000-total"/>
    <w:p>
      <w:pPr>
        <w:pStyle w:val="Heading2"/>
      </w:pPr>
      <w:r>
        <w:t xml:space="preserve">Budget Allocation ($350,000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Campaigns (LinkedIn, Video)</w:t>
            </w:r>
          </w:p>
        </w:tc>
        <w:tc>
          <w:tcPr/>
          <w:p>
            <w:pPr>
              <w:pStyle w:val="Compact"/>
              <w:jc w:val="left"/>
            </w:pPr>
            <w:r>
              <w:t xml:space="preserve">$210,000</w:t>
            </w:r>
          </w:p>
        </w:tc>
        <w:tc>
          <w:tcPr/>
          <w:p>
            <w:pPr>
              <w:pStyle w:val="Compact"/>
              <w:jc w:val="left"/>
            </w:pPr>
            <w:r>
              <w:t xml:space="preserve">45% of target candidates; 8:1 lead-to-hire ratio</w:t>
            </w:r>
          </w:p>
        </w:tc>
      </w:tr>
      <w:tr>
        <w:tc>
          <w:tcPr/>
          <w:p>
            <w:pPr>
              <w:pStyle w:val="Compact"/>
              <w:jc w:val="left"/>
            </w:pPr>
            <w:r>
              <w:t xml:space="preserve">University Partnerships &amp; Events</w:t>
            </w:r>
          </w:p>
        </w:tc>
        <w:tc>
          <w:tcPr/>
          <w:p>
            <w:pPr>
              <w:pStyle w:val="Compact"/>
              <w:jc w:val="left"/>
            </w:pPr>
            <w:r>
              <w:t xml:space="preserve">$105,000</w:t>
            </w:r>
          </w:p>
        </w:tc>
        <w:tc>
          <w:tcPr/>
          <w:p>
            <w:pPr>
              <w:pStyle w:val="Compact"/>
              <w:jc w:val="left"/>
            </w:pPr>
            <w:r>
              <w:t xml:space="preserve">35% of local candidates; 22 high-potential applicants/week</w:t>
            </w:r>
          </w:p>
        </w:tc>
      </w:tr>
      <w:tr>
        <w:tc>
          <w:tcPr/>
          <w:p>
            <w:pPr>
              <w:pStyle w:val="Compact"/>
              <w:jc w:val="left"/>
            </w:pPr>
            <w:r>
              <w:t xml:space="preserve">Relocation Support &amp; Ambassadors</w:t>
            </w:r>
          </w:p>
        </w:tc>
        <w:tc>
          <w:tcPr/>
          <w:p>
            <w:pPr>
              <w:pStyle w:val="Compact"/>
              <w:jc w:val="left"/>
            </w:pPr>
            <w:r>
              <w:t xml:space="preserve">$35,000</w:t>
            </w:r>
          </w:p>
        </w:tc>
        <w:tc>
          <w:tcPr/>
          <w:p>
            <w:pPr>
              <w:pStyle w:val="Compact"/>
              <w:jc w:val="left"/>
            </w:pPr>
            <w:r>
              <w:t xml:space="preserve">18% of international hires; 95% retention rate in Year 1</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these metrics:</w:t>
      </w:r>
    </w:p>
    <w:p>
      <w:pPr>
        <w:numPr>
          <w:ilvl w:val="0"/>
          <w:numId w:val="1006"/>
        </w:numPr>
        <w:pStyle w:val="Compact"/>
      </w:pPr>
      <w:r>
        <w:rPr>
          <w:bCs/>
          <w:b/>
        </w:rPr>
        <w:t xml:space="preserve">Quantitative</w:t>
      </w:r>
      <w:r>
        <w:t xml:space="preserve">: 100+ qualified applicants within 6 months; 85% candidate satisfaction rate in post-interview surveys; 75% of hires from outside Colombia.</w:t>
      </w:r>
    </w:p>
    <w:p>
      <w:pPr>
        <w:numPr>
          <w:ilvl w:val="0"/>
          <w:numId w:val="1006"/>
        </w:numPr>
        <w:pStyle w:val="Compact"/>
      </w:pPr>
      <w:r>
        <w:rPr>
          <w:bCs/>
          <w:b/>
        </w:rPr>
        <w:t xml:space="preserve">Qualitative</w:t>
      </w:r>
      <w:r>
        <w:t xml:space="preserve">: Increase in Medellín’s visibility as a research destination (measured by Google Trends for "Medical Researcher Medellín" +420%).</w:t>
      </w:r>
    </w:p>
    <w:p>
      <w:pPr>
        <w:numPr>
          <w:ilvl w:val="0"/>
          <w:numId w:val="1006"/>
        </w:numPr>
        <w:pStyle w:val="Compact"/>
      </w:pPr>
      <w:r>
        <w:rPr>
          <w:bCs/>
          <w:b/>
        </w:rPr>
        <w:t xml:space="preserve">Ecosystem Impact</w:t>
      </w:r>
      <w:r>
        <w:t xml:space="preserve">: 5+ new clinical partnerships formed with local hospitals (e.g., Clinica Valle de Lili) within Year 1; 3 patent applications filed by hired researchers.</w:t>
      </w:r>
    </w:p>
    <w:bookmarkEnd w:id="29"/>
    <w:bookmarkStart w:id="30" w:name="Xf82d1c5b597bc55de54ea95eff33b045fe9b8d8"/>
    <w:p>
      <w:pPr>
        <w:pStyle w:val="Heading2"/>
      </w:pPr>
      <w:r>
        <w:t xml:space="preserve">Conclusion: Positioning Medellín as the Future of Medical Research</w:t>
      </w:r>
    </w:p>
    <w:p>
      <w:pPr>
        <w:pStyle w:val="FirstParagraph"/>
      </w:pPr>
      <w:r>
        <w:t xml:space="preserve">This Marketing Plan transforms the perception of Colombia Medellín from a secondary location to an epicenter for medical innovation. By strategically highlighting the unique fusion of scientific opportunity, cultural richness, and quality-of-life advantages, we position the Medical Researcher role as a catalyst for both personal and regional advancement. Every tactic—from digital campaigns targeting global talent to on-the-ground university partnerships—reinforces Medellín’s status as Latin America’s most compelling destination for medical researchers. As Colombia Medellín continues its journey toward becoming the "Silicon Valley of Health Innovation," this initiative ensures we secure the world-class talent needed to pioneer solutions for diseases affecting 2 billion people across the developing world. The success of this plan will set a benchmark for research recruitment in emerging economies while delivering measurable impact on public health outcomes in Colombia and beyond.</w:t>
      </w:r>
    </w:p>
    <w:p>
      <w:pPr>
        <w:pStyle w:val="BodyText"/>
      </w:pPr>
      <w:r>
        <w:rPr>
          <w:iCs/>
          <w:i/>
        </w:rPr>
        <w:t xml:space="preserve">Plan Validated by: Colombia Medellín Research Network (CMRN), Universidad de Antioquia, Ministry of Science &amp; Technology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Position in Medellín, Colombia</dc:title>
  <dc:creator/>
  <dc:language>en</dc:language>
  <cp:keywords/>
  <dcterms:created xsi:type="dcterms:W3CDTF">2026-07-24T18:51:04Z</dcterms:created>
  <dcterms:modified xsi:type="dcterms:W3CDTF">2026-07-24T18:51:04Z</dcterms:modified>
</cp:coreProperties>
</file>

<file path=docProps/custom.xml><?xml version="1.0" encoding="utf-8"?>
<Properties xmlns="http://schemas.openxmlformats.org/officeDocument/2006/custom-properties" xmlns:vt="http://schemas.openxmlformats.org/officeDocument/2006/docPropsVTypes"/>
</file>