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Elite</w:t>
      </w:r>
      <w:r>
        <w:t xml:space="preserve"> </w:t>
      </w:r>
      <w:r>
        <w:t xml:space="preserve">Medical</w:t>
      </w:r>
      <w:r>
        <w:t xml:space="preserve"> </w:t>
      </w:r>
      <w:r>
        <w:t xml:space="preserve">Researchers</w:t>
      </w:r>
      <w:r>
        <w:t xml:space="preserve"> </w:t>
      </w:r>
      <w:r>
        <w:t xml:space="preserve">to</w:t>
      </w:r>
      <w:r>
        <w:t xml:space="preserve"> </w:t>
      </w:r>
      <w:r>
        <w:t xml:space="preserve">Berlin,</w:t>
      </w:r>
      <w:r>
        <w:t xml:space="preserve"> </w:t>
      </w:r>
      <w:r>
        <w:t xml:space="preserve">Germany</w:t>
      </w:r>
    </w:p>
    <w:bookmarkStart w:id="29" w:name="X9b08ea839cbf97a07b342f9c089308bf8b149ae"/>
    <w:p>
      <w:pPr>
        <w:pStyle w:val="Heading1"/>
      </w:pPr>
      <w:r>
        <w:t xml:space="preserve">Strategic Marketing Plan for Recruiting Top-Tier Medical Researchers in Berlin, Germany</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highly qualified Medical Researchers for leading institutions across Berlin, Germany. As the epicenter of biomedical innovation in Central Europe, Berlin offers unparalleled research infrastructure, collaborative ecosystems, and government support. This plan leverages Berlin's unique position as a global hub for medical science to position our institution as the premier destination for Medical Researchers seeking impactful careers within Germany's dynamic healthcare landscape.</w:t>
      </w:r>
    </w:p>
    <w:bookmarkEnd w:id="20"/>
    <w:bookmarkStart w:id="21" w:name="Xf63f867077eb398c0640176daf29c1b3756287e"/>
    <w:p>
      <w:pPr>
        <w:pStyle w:val="Heading2"/>
      </w:pPr>
      <w:r>
        <w:t xml:space="preserve">Situation Analysis: The Berlin Medical Research Landscape</w:t>
      </w:r>
    </w:p>
    <w:p>
      <w:pPr>
        <w:pStyle w:val="FirstParagraph"/>
      </w:pPr>
      <w:r>
        <w:t xml:space="preserve">Germany Berlin stands at the forefront of European medical innovation, hosting over 30 major research institutions including Charité – Universitätsmedizin Berlin, Max Planck Institutes for Molecular Cell Biology, and the German Cancer Research Center (DKFZ). Despite this strength, a significant talent gap persists in specialized Medical Researcher roles—particularly in genomics, immunology, and digital health. Competition for top candidates is fierce among Berlin's universities, hospitals (e.g., Vivantes Kliniken), and biotech startups. A 2023 BMF report confirmed Berlin’s medical research sector faces a 17% vacancy rate for senior Medical Researchers compared to the EU average of 12%. This presents a critical opportunity: our Marketing Plan must directly address Berlin's talent needs through compelling, culturally attuned positioning.</w:t>
      </w:r>
    </w:p>
    <w:bookmarkEnd w:id="21"/>
    <w:bookmarkStart w:id="22" w:name="X4d562bfb9b40dfc7949789fb754eed3c3834678"/>
    <w:p>
      <w:pPr>
        <w:pStyle w:val="Heading2"/>
      </w:pPr>
      <w:r>
        <w:t xml:space="preserve">Target Audience: The Ideal Medical Researcher in Germany</w:t>
      </w:r>
    </w:p>
    <w:p>
      <w:pPr>
        <w:pStyle w:val="FirstParagraph"/>
      </w:pPr>
      <w:r>
        <w:t xml:space="preserve">Our primary audience comprises internationally experienced Medical Researchers (PhD or MD/PhD) with 3–8 years of postdoctoral experience, specializing in areas critical to Berlin’s strategic priorities: regenerative medicine, AI-driven clinical trials, and neurodegenerative disease research. These candidates prioritize:</w:t>
      </w:r>
    </w:p>
    <w:p>
      <w:pPr>
        <w:numPr>
          <w:ilvl w:val="0"/>
          <w:numId w:val="1001"/>
        </w:numPr>
        <w:pStyle w:val="Compact"/>
      </w:pPr>
      <w:r>
        <w:t xml:space="preserve">Access to cutting-edge facilities (e.g., Berlin-Brandenburg Center for Regenerative Therapies)</w:t>
      </w:r>
    </w:p>
    <w:p>
      <w:pPr>
        <w:numPr>
          <w:ilvl w:val="0"/>
          <w:numId w:val="1001"/>
        </w:numPr>
        <w:pStyle w:val="Compact"/>
      </w:pPr>
      <w:r>
        <w:t xml:space="preserve">Collaboration with Germany’s leading academic and industry partners</w:t>
      </w:r>
    </w:p>
    <w:p>
      <w:pPr>
        <w:numPr>
          <w:ilvl w:val="0"/>
          <w:numId w:val="1001"/>
        </w:numPr>
        <w:pStyle w:val="Compact"/>
      </w:pPr>
      <w:r>
        <w:t xml:space="preserve">A clear career path within Berlin’s thriving innovation ecosystem</w:t>
      </w:r>
    </w:p>
    <w:p>
      <w:pPr>
        <w:numPr>
          <w:ilvl w:val="0"/>
          <w:numId w:val="1001"/>
        </w:numPr>
        <w:pStyle w:val="Compact"/>
      </w:pPr>
      <w:r>
        <w:t xml:space="preserve">Integration into German research culture while maintaining international mobility</w:t>
      </w:r>
    </w:p>
    <w:bookmarkEnd w:id="22"/>
    <w:bookmarkStart w:id="23" w:name="X3e04f0bb55a64c965768f351f77c5cfe2927f8f"/>
    <w:p>
      <w:pPr>
        <w:pStyle w:val="Heading2"/>
      </w:pPr>
      <w:r>
        <w:t xml:space="preserve">Unique Value Proposition (UVP) for Medical Researchers in Berlin, Germany</w:t>
      </w:r>
    </w:p>
    <w:p>
      <w:pPr>
        <w:pStyle w:val="FirstParagraph"/>
      </w:pPr>
      <w:r>
        <w:t xml:space="preserve">We position our Medical Researcher roles not as standard positions, but as entry points to a transformative career within Germany’s most advanced medical hub. Our UVP centers on:</w:t>
      </w:r>
    </w:p>
    <w:p>
      <w:pPr>
        <w:numPr>
          <w:ilvl w:val="0"/>
          <w:numId w:val="1002"/>
        </w:numPr>
        <w:pStyle w:val="Compact"/>
      </w:pPr>
      <w:r>
        <w:rPr>
          <w:bCs/>
          <w:b/>
        </w:rPr>
        <w:t xml:space="preserve">Accelerated Impact:</w:t>
      </w:r>
      <w:r>
        <w:t xml:space="preserve"> </w:t>
      </w:r>
      <w:r>
        <w:t xml:space="preserve">"Lead projects funded by the German Research Foundation (DFG) and Horizon Europe—directly contributing to Berlin's 2030 health innovation targets."</w:t>
      </w:r>
    </w:p>
    <w:p>
      <w:pPr>
        <w:numPr>
          <w:ilvl w:val="0"/>
          <w:numId w:val="1002"/>
        </w:numPr>
        <w:pStyle w:val="Compact"/>
      </w:pPr>
      <w:r>
        <w:rPr>
          <w:bCs/>
          <w:b/>
        </w:rPr>
        <w:t xml:space="preserve">Berlin-Exclusive Ecosystem:</w:t>
      </w:r>
      <w:r>
        <w:t xml:space="preserve"> </w:t>
      </w:r>
      <w:r>
        <w:t xml:space="preserve">"Work alongside Nobel laureates at Max Planck, collaborate with AI startups in Berlin’s BioInnovation Hub, and leverage the city’s 45% EU research funding share."</w:t>
      </w:r>
    </w:p>
    <w:p>
      <w:pPr>
        <w:numPr>
          <w:ilvl w:val="0"/>
          <w:numId w:val="1002"/>
        </w:numPr>
        <w:pStyle w:val="Compact"/>
      </w:pPr>
      <w:r>
        <w:rPr>
          <w:bCs/>
          <w:b/>
        </w:rPr>
        <w:t xml:space="preserve">Seamless Integration:</w:t>
      </w:r>
      <w:r>
        <w:t xml:space="preserve"> </w:t>
      </w:r>
      <w:r>
        <w:t xml:space="preserve">"Dedicated relocation support including German language training (for non-native speakers), tax-free allowances for first-year researchers, and networking with the Berlin Research Alliance."</w:t>
      </w:r>
    </w:p>
    <w:bookmarkEnd w:id="23"/>
    <w:bookmarkStart w:id="24" w:name="marketing-strategy-tactics"/>
    <w:p>
      <w:pPr>
        <w:pStyle w:val="Heading2"/>
      </w:pPr>
      <w:r>
        <w:t xml:space="preserve">Marketing Strategy &amp; Tactics</w:t>
      </w:r>
    </w:p>
    <w:p>
      <w:pPr>
        <w:pStyle w:val="FirstParagraph"/>
      </w:pPr>
      <w:r>
        <w:rPr>
          <w:iCs/>
          <w:i/>
        </w:rPr>
        <w:t xml:space="preserve">Precision Targeting:</w:t>
      </w:r>
      <w:r>
        <w:t xml:space="preserve"> </w:t>
      </w:r>
      <w:r>
        <w:t xml:space="preserve">We shift focus from generic job boards to Berlin-specific talent networks. Campaigns target:</w:t>
      </w:r>
      <w:r>
        <w:t xml:space="preserve"> </w:t>
      </w:r>
      <w:r>
        <w:t xml:space="preserve">• Academic platforms like</w:t>
      </w:r>
      <w:r>
        <w:t xml:space="preserve"> </w:t>
      </w:r>
      <w:r>
        <w:rPr>
          <w:iCs/>
          <w:i/>
        </w:rPr>
        <w:t xml:space="preserve">ResearchGate</w:t>
      </w:r>
      <w:r>
        <w:t xml:space="preserve"> </w:t>
      </w:r>
      <w:r>
        <w:t xml:space="preserve">(with Berlin-focused filters)</w:t>
      </w:r>
      <w:r>
        <w:t xml:space="preserve"> </w:t>
      </w:r>
      <w:r>
        <w:t xml:space="preserve">• German professional network</w:t>
      </w:r>
      <w:r>
        <w:t xml:space="preserve"> </w:t>
      </w:r>
      <w:r>
        <w:rPr>
          <w:iCs/>
          <w:i/>
        </w:rPr>
        <w:t xml:space="preserve">XING</w:t>
      </w:r>
      <w:r>
        <w:t xml:space="preserve"> </w:t>
      </w:r>
      <w:r>
        <w:t xml:space="preserve">(using keywords: "Medical Researcher Berlin," "Forschung Berlin")</w:t>
      </w:r>
      <w:r>
        <w:t xml:space="preserve"> </w:t>
      </w:r>
      <w:r>
        <w:t xml:space="preserve">• Events at the annual</w:t>
      </w:r>
      <w:r>
        <w:t xml:space="preserve"> </w:t>
      </w:r>
      <w:r>
        <w:rPr>
          <w:iCs/>
          <w:i/>
        </w:rPr>
        <w:t xml:space="preserve">Berlin Science Week</w:t>
      </w:r>
      <w:r>
        <w:t xml:space="preserve"> </w:t>
      </w:r>
      <w:r>
        <w:t xml:space="preserve">and</w:t>
      </w:r>
      <w:r>
        <w:t xml:space="preserve"> </w:t>
      </w:r>
      <w:r>
        <w:rPr>
          <w:iCs/>
          <w:i/>
        </w:rPr>
        <w:t xml:space="preserve">DGB Health Conference</w:t>
      </w:r>
    </w:p>
    <w:p>
      <w:pPr>
        <w:pStyle w:val="BodyText"/>
      </w:pPr>
      <w:r>
        <w:rPr>
          <w:iCs/>
          <w:i/>
        </w:rPr>
        <w:t xml:space="preserve">Cultural Resonance:</w:t>
      </w:r>
      <w:r>
        <w:t xml:space="preserve"> </w:t>
      </w:r>
      <w:r>
        <w:t xml:space="preserve">Content emphasizes Germany’s research ethos—precision, collaboration, and evidence-based impact. All materials avoid "English-only" assumptions; bilingual (German/English) content is used for German-language platforms. Key messaging: "Your Research, Berlin’s Future: Join Germany’s Medical Renaissance."</w:t>
      </w:r>
    </w:p>
    <w:p>
      <w:pPr>
        <w:pStyle w:val="BodyText"/>
      </w:pPr>
      <w:r>
        <w:rPr>
          <w:iCs/>
          <w:i/>
        </w:rPr>
        <w:t xml:space="preserve">Digital Campaigns:</w:t>
      </w:r>
      <w:r>
        <w:t xml:space="preserve"> </w:t>
      </w:r>
      <w:r>
        <w:t xml:space="preserve">A dedicated microsite ("MedicalResearcher.Berlin") showcases Berlin-specific success stories: "Dr. Lena Müller (Cardiovascular Research): How Her Work at Charité Led to a Breakthrough in Berlin-AI Partnerships." Social media ads target users searching "Medical Research Jobs Germany" with geo-filters for Berlin, Bonn, and Munich (to capture talent considering relocation).</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Foundation (Months 1-2)</w:t>
            </w:r>
          </w:p>
        </w:tc>
        <w:tc>
          <w:tcPr/>
          <w:p>
            <w:pPr>
              <w:pStyle w:val="Compact"/>
              <w:jc w:val="left"/>
            </w:pPr>
            <w:r>
              <w:t xml:space="preserve">Q1 2024</w:t>
            </w:r>
          </w:p>
        </w:tc>
        <w:tc>
          <w:tcPr/>
          <w:p>
            <w:pPr>
              <w:pStyle w:val="Compact"/>
              <w:jc w:val="left"/>
            </w:pPr>
            <w:r>
              <w:t xml:space="preserve">Leverage Berlin Research Alliance for co-branded content; launch "Berlin Medical Researcher" LinkedIn campaign with institutional testimonials.</w:t>
            </w:r>
          </w:p>
        </w:tc>
      </w:tr>
      <w:tr>
        <w:tc>
          <w:tcPr/>
          <w:p>
            <w:pPr>
              <w:pStyle w:val="Compact"/>
              <w:jc w:val="left"/>
            </w:pPr>
            <w:r>
              <w:t xml:space="preserve">Activation (Months 3-6)</w:t>
            </w:r>
          </w:p>
        </w:tc>
        <w:tc>
          <w:tcPr/>
          <w:p>
            <w:pPr>
              <w:pStyle w:val="Compact"/>
              <w:jc w:val="left"/>
            </w:pPr>
            <w:r>
              <w:t xml:space="preserve">Q2-Q3 2024</w:t>
            </w:r>
          </w:p>
        </w:tc>
        <w:tc>
          <w:tcPr/>
          <w:p>
            <w:pPr>
              <w:pStyle w:val="Compact"/>
              <w:jc w:val="left"/>
            </w:pPr>
            <w:r>
              <w:t xml:space="preserve">Host virtual "Berlin Innovation Open House" for candidates; partner with Berlin University of Applied Sciences for student recruitment pipelines.</w:t>
            </w:r>
          </w:p>
        </w:tc>
      </w:tr>
      <w:tr>
        <w:tc>
          <w:tcPr/>
          <w:p>
            <w:pPr>
              <w:pStyle w:val="Compact"/>
              <w:jc w:val="left"/>
            </w:pPr>
            <w:r>
              <w:t xml:space="preserve">Optimization (Months 7-12)</w:t>
            </w:r>
          </w:p>
        </w:tc>
        <w:tc>
          <w:tcPr/>
          <w:p>
            <w:pPr>
              <w:pStyle w:val="Compact"/>
              <w:jc w:val="left"/>
            </w:pPr>
            <w:r>
              <w:t xml:space="preserve">Q4 2024</w:t>
            </w:r>
          </w:p>
        </w:tc>
        <w:tc>
          <w:tcPr/>
          <w:p>
            <w:pPr>
              <w:pStyle w:val="Compact"/>
              <w:jc w:val="left"/>
            </w:pPr>
            <w:r>
              <w:t xml:space="preserve">Analyze candidate demographics; refine targeting using data from the German Federal Statistical Office on research talent mobility in Berlin.</w:t>
            </w:r>
          </w:p>
        </w:tc>
      </w:tr>
    </w:tbl>
    <w:bookmarkEnd w:id="25"/>
    <w:bookmarkStart w:id="26" w:name="metrics-for-success"/>
    <w:p>
      <w:pPr>
        <w:pStyle w:val="Heading2"/>
      </w:pPr>
      <w:r>
        <w:t xml:space="preserve">Metrics for Success</w:t>
      </w:r>
    </w:p>
    <w:p>
      <w:pPr>
        <w:pStyle w:val="FirstParagraph"/>
      </w:pPr>
      <w:r>
        <w:t xml:space="preserve">We measure success through Berlin-specific KPIs:</w:t>
      </w:r>
      <w:r>
        <w:t xml:space="preserve"> </w:t>
      </w:r>
      <w:r>
        <w:t xml:space="preserve">• 40% increase in qualified Medical Researcher applications from Germany and EU nations within 12 months</w:t>
      </w:r>
      <w:r>
        <w:t xml:space="preserve"> </w:t>
      </w:r>
      <w:r>
        <w:t xml:space="preserve">• 85% candidate satisfaction rate on integration support (tracked via post-arrival surveys)</w:t>
      </w:r>
      <w:r>
        <w:t xml:space="preserve"> </w:t>
      </w:r>
      <w:r>
        <w:t xml:space="preserve">• Reduction of time-to-hire from Berlin’s average of 90 days to ≤60 days</w:t>
      </w:r>
      <w:r>
        <w:t xml:space="preserve"> </w:t>
      </w:r>
      <w:r>
        <w:t xml:space="preserve">• Social media engagement: 30% growth in "Medical Researcher Berlin" content shares on XING/LinkedIn</w:t>
      </w:r>
    </w:p>
    <w:bookmarkEnd w:id="26"/>
    <w:bookmarkStart w:id="27" w:name="Xec8ed41bd964ad4eaf152267aec68138250e004"/>
    <w:p>
      <w:pPr>
        <w:pStyle w:val="Heading2"/>
      </w:pPr>
      <w:r>
        <w:t xml:space="preserve">Why This Marketing Plan Works for Germany Berlin</w:t>
      </w:r>
    </w:p>
    <w:p>
      <w:pPr>
        <w:pStyle w:val="FirstParagraph"/>
      </w:pPr>
      <w:r>
        <w:t xml:space="preserve">This plan transcends traditional recruitment by framing the Medical Researcher role as a strategic career move within Germany’s national research ambitions. It acknowledges that top talent in Berlin doesn’t just seek a job—they seek affiliation with a system that accelerates their impact. By embedding "Berlin" into every touchpoint—from location-specific success stories to Berlin-optimized relocation support—we create an irresistible narrative for Medical Researchers who understand that the city’s unique fusion of academic rigor, industry collaboration, and EU funding is unmatched in Germany. This isn’t just a Marketing Plan; it’s a blueprint for making Berlin the undisputed heartbeat of medical research in Europe.</w:t>
      </w:r>
    </w:p>
    <w:bookmarkEnd w:id="27"/>
    <w:bookmarkStart w:id="28" w:name="conclusion"/>
    <w:p>
      <w:pPr>
        <w:pStyle w:val="Heading2"/>
      </w:pPr>
      <w:r>
        <w:t xml:space="preserve">Conclusion</w:t>
      </w:r>
    </w:p>
    <w:p>
      <w:pPr>
        <w:pStyle w:val="FirstParagraph"/>
      </w:pPr>
      <w:r>
        <w:t xml:space="preserve">The pursuit of a Medical Researcher role in Berlin, Germany demands more than competitive salaries—it requires demonstrating how our institution enables their legacy within one of the world’s most influential health innovation hubs. This Marketing Plan delivers precisely that: a culturally intelligent, data-driven strategy to position our Medical Researcher opportunities as the natural choice for elite scientists seeking purpose in Berlin. As Germany continues its investment in "Medizin 4.0," we are not just hiring researchers—we are securing Berlin’s next generation of medical pioneers.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Elite Medical Researchers to Berlin, Germany</dc:title>
  <dc:creator/>
  <cp:keywords/>
  <dcterms:created xsi:type="dcterms:W3CDTF">2026-07-24T16:26:18Z</dcterms:created>
  <dcterms:modified xsi:type="dcterms:W3CDTF">2026-07-24T16:26:18Z</dcterms:modified>
</cp:coreProperties>
</file>

<file path=docProps/custom.xml><?xml version="1.0" encoding="utf-8"?>
<Properties xmlns="http://schemas.openxmlformats.org/officeDocument/2006/custom-properties" xmlns:vt="http://schemas.openxmlformats.org/officeDocument/2006/docPropsVTypes"/>
</file>