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32" w:name="Xd8d311526c35da8566760850f361deb80d2bc92"/>
    <w:p>
      <w:pPr>
        <w:pStyle w:val="Heading1"/>
      </w:pPr>
      <w:r>
        <w:t xml:space="preserve">Comprehensive Marketing Plan for Recruiting a Senior Medical Researcher in Germany Frankfurt</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Medical Researcher for our leading pharmaceutical research facility in Germany Frankfurt. Frankfurt serves as Europe's premier financial and scientific hub, offering unparalleled access to cutting-edge research infrastructure, multinational collaborations, and top-tier academic institutions. Our strategic focus leverages this unique location to position the Medical Researcher role as a career catalyst within Germany's thriving biotech ecosystem. This plan ensures we deploy precise marketing tactics that resonate with elite medical researchers seeking impactful work in one of Europe's most dynamic scientific cities.</w:t>
      </w:r>
    </w:p>
    <w:bookmarkEnd w:id="20"/>
    <w:bookmarkStart w:id="21" w:name="Xfdedd9f5a2d29059164fa025b7cb9ce7c38c7a9"/>
    <w:p>
      <w:pPr>
        <w:pStyle w:val="Heading2"/>
      </w:pPr>
      <w:r>
        <w:t xml:space="preserve">Situation Analysis: Frankfurt's Medical Research Landscape</w:t>
      </w:r>
    </w:p>
    <w:p>
      <w:pPr>
        <w:pStyle w:val="FirstParagraph"/>
      </w:pPr>
      <w:r>
        <w:t xml:space="preserve">Germany Frankfurt stands at the epicenter of European pharmaceutical innovation, home to 37% of Germany's top-tier research institutes and hosting global headquarters for companies like Boehringer Ingelheim and Merck. The city boasts a concentration of 14 major research hospitals, the Goethe University Medical Center, and proximity to the German Center for Neurodegenerative Diseases (DZNE). This ecosystem generates intense competition for specialized Medical Researcher talent. Our position requires candidates who can navigate complex clinical trial frameworks while contributing to Frankfurt's reputation as a nerve center for translational medicine. Current market data indicates a 19% annual growth in research roles but a critical shortage of specialists with EU regulatory expertise.</w:t>
      </w:r>
    </w:p>
    <w:bookmarkEnd w:id="21"/>
    <w:bookmarkStart w:id="22" w:name="marketing-objectives"/>
    <w:p>
      <w:pPr>
        <w:pStyle w:val="Heading2"/>
      </w:pPr>
      <w:r>
        <w:t xml:space="preserve">Marketing Objectives</w:t>
      </w:r>
    </w:p>
    <w:p>
      <w:pPr>
        <w:numPr>
          <w:ilvl w:val="0"/>
          <w:numId w:val="1001"/>
        </w:numPr>
        <w:pStyle w:val="Compact"/>
      </w:pPr>
      <w:r>
        <w:rPr>
          <w:bCs/>
          <w:b/>
        </w:rPr>
        <w:t xml:space="preserve">Talent Acquisition:</w:t>
      </w:r>
      <w:r>
        <w:t xml:space="preserve"> </w:t>
      </w:r>
      <w:r>
        <w:t xml:space="preserve">Secure 3 qualified Medical Researcher candidates within 90 days through targeted outreach.</w:t>
      </w:r>
    </w:p>
    <w:p>
      <w:pPr>
        <w:numPr>
          <w:ilvl w:val="0"/>
          <w:numId w:val="1001"/>
        </w:numPr>
        <w:pStyle w:val="Compact"/>
      </w:pPr>
      <w:r>
        <w:rPr>
          <w:bCs/>
          <w:b/>
        </w:rPr>
        <w:t xml:space="preserve">Brand Positioning:</w:t>
      </w:r>
      <w:r>
        <w:t xml:space="preserve"> </w:t>
      </w:r>
      <w:r>
        <w:t xml:space="preserve">Establish our Frankfurt-based research facility as the preferred employer for medical researchers seeking innovation-driven careers in Germany.</w:t>
      </w:r>
    </w:p>
    <w:p>
      <w:pPr>
        <w:numPr>
          <w:ilvl w:val="0"/>
          <w:numId w:val="1001"/>
        </w:numPr>
        <w:pStyle w:val="Compact"/>
      </w:pPr>
      <w:r>
        <w:rPr>
          <w:bCs/>
          <w:b/>
        </w:rPr>
        <w:t xml:space="preserve">Market Differentiation:</w:t>
      </w:r>
      <w:r>
        <w:t xml:space="preserve"> </w:t>
      </w:r>
      <w:r>
        <w:t xml:space="preserve">Highlight unique Frankfurt advantages: access to EU regulatory bodies (EMA), interdisciplinary collaboration networks, and a 35% higher average salary for research roles compared to other German cities.</w:t>
      </w:r>
    </w:p>
    <w:bookmarkEnd w:id="22"/>
    <w:bookmarkStart w:id="23" w:name="target-audience-profile"/>
    <w:p>
      <w:pPr>
        <w:pStyle w:val="Heading2"/>
      </w:pPr>
      <w:r>
        <w:t xml:space="preserve">Target Audience Profile</w:t>
      </w:r>
    </w:p>
    <w:p>
      <w:pPr>
        <w:pStyle w:val="FirstParagraph"/>
      </w:pPr>
      <w:r>
        <w:t xml:space="preserve">We focus on two primary segments:</w:t>
      </w:r>
    </w:p>
    <w:p>
      <w:pPr>
        <w:numPr>
          <w:ilvl w:val="0"/>
          <w:numId w:val="1002"/>
        </w:numPr>
        <w:pStyle w:val="Compact"/>
      </w:pPr>
      <w:r>
        <w:rPr>
          <w:bCs/>
          <w:b/>
        </w:rPr>
        <w:t xml:space="preserve">Senior Researchers (PhD/MD, 7+ years experience):</w:t>
      </w:r>
      <w:r>
        <w:t xml:space="preserve"> </w:t>
      </w:r>
      <w:r>
        <w:t xml:space="preserve">Seeking leadership roles in EU-compliant clinical research, valuing Frankfurt's proximity to European Medicines Agency (EMA) and access to multinational trial networks. They prioritize career acceleration over salary alone.</w:t>
      </w:r>
    </w:p>
    <w:p>
      <w:pPr>
        <w:numPr>
          <w:ilvl w:val="0"/>
          <w:numId w:val="1002"/>
        </w:numPr>
        <w:pStyle w:val="Compact"/>
      </w:pPr>
      <w:r>
        <w:rPr>
          <w:bCs/>
          <w:b/>
        </w:rPr>
        <w:t xml:space="preserve">Early-Career Researchers (Postdoc/PhD, 3-5 years):</w:t>
      </w:r>
      <w:r>
        <w:t xml:space="preserve"> </w:t>
      </w:r>
      <w:r>
        <w:t xml:space="preserve">Motivated by Frankfurt's research infrastructure and the opportunity to work with industry leaders. They seek mentorship within a globally recognized medical research environment in Germany.</w:t>
      </w:r>
    </w:p>
    <w:bookmarkEnd w:id="23"/>
    <w:bookmarkStart w:id="27" w:name="marketing-strategies-tactics"/>
    <w:p>
      <w:pPr>
        <w:pStyle w:val="Heading2"/>
      </w:pPr>
      <w:r>
        <w:t xml:space="preserve">Marketing Strategies &amp; Tactics</w:t>
      </w:r>
    </w:p>
    <w:bookmarkStart w:id="24" w:name="Xcbdbf9f7e75d834689e5fb4835868e724f5b763"/>
    <w:p>
      <w:pPr>
        <w:pStyle w:val="Heading3"/>
      </w:pPr>
      <w:r>
        <w:t xml:space="preserve">1. Digital Recruitment Campaign (Germany-Focused)</w:t>
      </w:r>
    </w:p>
    <w:p>
      <w:pPr>
        <w:pStyle w:val="FirstParagraph"/>
      </w:pPr>
      <w:r>
        <w:t xml:space="preserve">We deploy geo-targeted LinkedIn and ResearchGate campaigns specifically for Frankfurt and Hesse region, using keywords: "Medical Researcher Germany," "Frankfurt Clinical Trials," "EU Medical Researcher." Content includes:</w:t>
      </w:r>
    </w:p>
    <w:p>
      <w:pPr>
        <w:numPr>
          <w:ilvl w:val="0"/>
          <w:numId w:val="1003"/>
        </w:numPr>
        <w:pStyle w:val="Compact"/>
      </w:pPr>
      <w:r>
        <w:t xml:space="preserve">Videos showcasing Frankfurt's research ecosystem (e.g., drone footage of the Riedberg Campus, interviews with current researchers)</w:t>
      </w:r>
    </w:p>
    <w:p>
      <w:pPr>
        <w:numPr>
          <w:ilvl w:val="0"/>
          <w:numId w:val="1003"/>
        </w:numPr>
        <w:pStyle w:val="Compact"/>
      </w:pPr>
      <w:r>
        <w:t xml:space="preserve">Interactive maps highlighting EMA proximity, university partnerships, and Frankfurt's 15-minute access to major European airports</w:t>
      </w:r>
    </w:p>
    <w:p>
      <w:pPr>
        <w:numPr>
          <w:ilvl w:val="0"/>
          <w:numId w:val="1003"/>
        </w:numPr>
        <w:pStyle w:val="Compact"/>
      </w:pPr>
      <w:r>
        <w:t xml:space="preserve">Testimonials from existing medical researchers emphasizing career growth in Germany Frankfurt (e.g., "My EU regulatory expertise accelerated here")</w:t>
      </w:r>
    </w:p>
    <w:bookmarkEnd w:id="24"/>
    <w:bookmarkStart w:id="25" w:name="Xb9905b8e952ec770463ca7675dd1108c5b44867"/>
    <w:p>
      <w:pPr>
        <w:pStyle w:val="Heading3"/>
      </w:pPr>
      <w:r>
        <w:t xml:space="preserve">2. Strategic Partnerships in Germany Frankfurt</w:t>
      </w:r>
    </w:p>
    <w:p>
      <w:pPr>
        <w:pStyle w:val="FirstParagraph"/>
      </w:pPr>
      <w:r>
        <w:t xml:space="preserve">Collaborate with key Frankfurt institutions to amplify credibility:</w:t>
      </w:r>
    </w:p>
    <w:p>
      <w:pPr>
        <w:numPr>
          <w:ilvl w:val="0"/>
          <w:numId w:val="1004"/>
        </w:numPr>
        <w:pStyle w:val="Compact"/>
      </w:pPr>
      <w:r>
        <w:rPr>
          <w:bCs/>
          <w:b/>
        </w:rPr>
        <w:t xml:space="preserve">Goethe University Medical Center:</w:t>
      </w:r>
      <w:r>
        <w:t xml:space="preserve"> </w:t>
      </w:r>
      <w:r>
        <w:t xml:space="preserve">Co-host monthly "Medical Researcher Insights" webinars for students/postdocs, positioning our role as a career gateway.</w:t>
      </w:r>
    </w:p>
    <w:p>
      <w:pPr>
        <w:numPr>
          <w:ilvl w:val="0"/>
          <w:numId w:val="1004"/>
        </w:numPr>
        <w:pStyle w:val="Compact"/>
      </w:pPr>
      <w:r>
        <w:rPr>
          <w:bCs/>
          <w:b/>
        </w:rPr>
        <w:t xml:space="preserve">Frankfurt Chamber of Commerce:</w:t>
      </w:r>
      <w:r>
        <w:t xml:space="preserve"> </w:t>
      </w:r>
      <w:r>
        <w:t xml:space="preserve">Sponsor the "Health Innovation Summit," featuring our research director discussing Frankfurt's biomedical advantages.</w:t>
      </w:r>
    </w:p>
    <w:p>
      <w:pPr>
        <w:numPr>
          <w:ilvl w:val="0"/>
          <w:numId w:val="1004"/>
        </w:numPr>
        <w:pStyle w:val="Compact"/>
      </w:pPr>
      <w:r>
        <w:rPr>
          <w:bCs/>
          <w:b/>
        </w:rPr>
        <w:t xml:space="preserve">German Society for Clinical Research (DGK):</w:t>
      </w:r>
      <w:r>
        <w:t xml:space="preserve"> </w:t>
      </w:r>
      <w:r>
        <w:t xml:space="preserve">Place targeted job ads in their quarterly journal distributed to 12,000 members across Germany.</w:t>
      </w:r>
    </w:p>
    <w:bookmarkEnd w:id="25"/>
    <w:bookmarkStart w:id="26" w:name="X2fb2c8e9b160b0394d493ab48ffd2542124ef8c"/>
    <w:p>
      <w:pPr>
        <w:pStyle w:val="Heading3"/>
      </w:pPr>
      <w:r>
        <w:t xml:space="preserve">3. Employer Branding through Frankfurt's Scientific Identity</w:t>
      </w:r>
    </w:p>
    <w:p>
      <w:pPr>
        <w:pStyle w:val="FirstParagraph"/>
      </w:pPr>
      <w:r>
        <w:t xml:space="preserve">We integrate Frankfurt's unique value proposition into all communications:</w:t>
      </w:r>
    </w:p>
    <w:p>
      <w:pPr>
        <w:pStyle w:val="BlockText"/>
      </w:pPr>
      <w:r>
        <w:t xml:space="preserve">"In Frankfurt, your Medical Researcher work directly influences EU healthcare policy. Located 20 minutes from EMA headquarters and surrounded by 47 biotech startups in the 'Frankfurt Biotech Valley,' you'll translate discoveries into real-world impact faster than anywhere else in Germany."</w:t>
      </w:r>
    </w:p>
    <w:p>
      <w:pPr>
        <w:pStyle w:val="FirstParagraph"/>
      </w:pPr>
      <w:r>
        <w:t xml:space="preserve">Materials emphasize Frankfurt's quality of life: low crime rates (59% below EU average), 60+ international schools, and UNESCO-listed cultural sites within city limits.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LinkedIn/ResearchGate Targeted Ads (Frankfurt focus)</w:t>
      </w:r>
    </w:p>
    <w:p>
      <w:pPr>
        <w:pStyle w:val="BodyText"/>
      </w:pPr>
      <w:r>
        <w:t xml:space="preserve">€18,500</w:t>
      </w:r>
    </w:p>
    <w:p>
      <w:pPr>
        <w:pStyle w:val="BodyText"/>
      </w:pPr>
      <w:r>
        <w:t xml:space="preserve">35% qualified applicants; 8-12 interviewees</w:t>
      </w:r>
    </w:p>
    <w:p>
      <w:pPr>
        <w:pStyle w:val="BodyText"/>
      </w:pPr>
      <w:r>
        <w:t xml:space="preserve">Institutional Partnerships (Goethe DGK Sponsorship)</w:t>
      </w:r>
    </w:p>
    <w:p>
      <w:pPr>
        <w:pStyle w:val="BodyText"/>
      </w:pPr>
      <w:r>
        <w:t xml:space="preserve">€9,200</w:t>
      </w:r>
    </w:p>
    <w:p>
      <w:pPr>
        <w:pStyle w:val="BodyText"/>
      </w:pPr>
      <w:r>
        <w:t xml:space="preserve">15% direct referrals; enhanced credibility</w:t>
      </w:r>
    </w:p>
    <w:p>
      <w:pPr>
        <w:pStyle w:val="BodyText"/>
      </w:pPr>
      <w:r>
        <w:t xml:space="preserve">Digital Content Production (Videos, Maps)</w:t>
      </w:r>
    </w:p>
    <w:p>
      <w:pPr>
        <w:pStyle w:val="BodyText"/>
      </w:pPr>
      <w:r>
        <w:t xml:space="preserve">€12,0003x engagement vs. standard job posts</w:t>
      </w:r>
    </w:p>
    <w:p>
      <w:pPr>
        <w:pStyle w:val="BodyText"/>
      </w:pPr>
      <w:r>
        <w:t xml:space="preserve">Frankfurt Innovation Summit Booth</w:t>
      </w:r>
    </w:p>
    <w:p>
      <w:pPr>
        <w:pStyle w:val="BodyText"/>
      </w:pPr>
      <w:r>
        <w:t xml:space="preserve">€6,800</w:t>
      </w:r>
    </w:p>
    <w:p>
      <w:pPr>
        <w:pStyle w:val="BodyText"/>
      </w:pPr>
      <w:r>
        <w:t xml:space="preserve">25+ qualified leads; 4 candidate interviews booked onsite</w:t>
      </w:r>
    </w:p>
    <w:bookmarkEnd w:id="28"/>
    <w:bookmarkStart w:id="29" w:name="implementation-timeline-90-days"/>
    <w:p>
      <w:pPr>
        <w:pStyle w:val="Heading2"/>
      </w:pPr>
      <w:r>
        <w:t xml:space="preserve">Implementation Timeline (90 Days)</w:t>
      </w:r>
    </w:p>
    <w:p>
      <w:pPr>
        <w:numPr>
          <w:ilvl w:val="0"/>
          <w:numId w:val="1005"/>
        </w:numPr>
        <w:pStyle w:val="Compact"/>
      </w:pPr>
      <w:r>
        <w:rPr>
          <w:bCs/>
          <w:b/>
        </w:rPr>
        <w:t xml:space="preserve">Days 1-30:</w:t>
      </w:r>
      <w:r>
        <w:t xml:space="preserve"> </w:t>
      </w:r>
      <w:r>
        <w:t xml:space="preserve">Launch digital campaigns, initiate institutional partnerships, produce Frankfurt-focused content</w:t>
      </w:r>
    </w:p>
    <w:p>
      <w:pPr>
        <w:numPr>
          <w:ilvl w:val="0"/>
          <w:numId w:val="1005"/>
        </w:numPr>
        <w:pStyle w:val="Compact"/>
      </w:pPr>
      <w:r>
        <w:rPr>
          <w:bCs/>
          <w:b/>
        </w:rPr>
        <w:t xml:space="preserve">Days 31-60:</w:t>
      </w:r>
      <w:r>
        <w:t xml:space="preserve"> </w:t>
      </w:r>
      <w:r>
        <w:t xml:space="preserve">Host Goethe University webinar series; deploy EMA proximity messaging; measure campaign engagement</w:t>
      </w:r>
    </w:p>
    <w:p>
      <w:pPr>
        <w:numPr>
          <w:ilvl w:val="0"/>
          <w:numId w:val="1005"/>
        </w:numPr>
        <w:pStyle w:val="Compact"/>
      </w:pPr>
      <w:r>
        <w:rPr>
          <w:bCs/>
          <w:b/>
        </w:rPr>
        <w:t xml:space="preserve">Days 61-90:</w:t>
      </w:r>
      <w:r>
        <w:t xml:space="preserve"> </w:t>
      </w:r>
      <w:r>
        <w:t xml:space="preserve">Conduct interview process for shortlisted candidates, finalize hires with Frankfurt relocation support</w:t>
      </w:r>
    </w:p>
    <w:bookmarkEnd w:id="29"/>
    <w:bookmarkStart w:id="30" w:name="evaluation-metrics"/>
    <w:p>
      <w:pPr>
        <w:pStyle w:val="Heading2"/>
      </w:pPr>
      <w:r>
        <w:t xml:space="preserve">Evaluation Metrics</w:t>
      </w:r>
    </w:p>
    <w:p>
      <w:pPr>
        <w:pStyle w:val="FirstParagraph"/>
      </w:pPr>
      <w:r>
        <w:t xml:space="preserve">We track KPIs specific to Germany Frankfurt's research market:</w:t>
      </w:r>
    </w:p>
    <w:p>
      <w:pPr>
        <w:numPr>
          <w:ilvl w:val="0"/>
          <w:numId w:val="1006"/>
        </w:numPr>
        <w:pStyle w:val="Compact"/>
      </w:pPr>
      <w:r>
        <w:rPr>
          <w:bCs/>
          <w:b/>
        </w:rPr>
        <w:t xml:space="preserve">Candidate Quality Score:</w:t>
      </w:r>
      <w:r>
        <w:t xml:space="preserve"> </w:t>
      </w:r>
      <w:r>
        <w:t xml:space="preserve">Percentage of applicants meeting EU clinical trial experience requirements (Target: 65%+)</w:t>
      </w:r>
    </w:p>
    <w:p>
      <w:pPr>
        <w:numPr>
          <w:ilvl w:val="0"/>
          <w:numId w:val="1006"/>
        </w:numPr>
        <w:pStyle w:val="Compact"/>
      </w:pPr>
      <w:r>
        <w:rPr>
          <w:bCs/>
          <w:b/>
        </w:rPr>
        <w:t xml:space="preserve">Frankfurt-Specific Engagement:</w:t>
      </w:r>
      <w:r>
        <w:t xml:space="preserve"> </w:t>
      </w:r>
      <w:r>
        <w:t xml:space="preserve">Click-through rates on location-specific content vs. generic job posts (Target: 2.3x industry average)</w:t>
      </w:r>
    </w:p>
    <w:p>
      <w:pPr>
        <w:numPr>
          <w:ilvl w:val="0"/>
          <w:numId w:val="1006"/>
        </w:numPr>
        <w:pStyle w:val="Compact"/>
      </w:pPr>
      <w:r>
        <w:rPr>
          <w:bCs/>
          <w:b/>
        </w:rPr>
        <w:t xml:space="preserve">Time-to-Hire in Frankfurt Context:</w:t>
      </w:r>
      <w:r>
        <w:t xml:space="preserve"> </w:t>
      </w:r>
      <w:r>
        <w:t xml:space="preserve">Reduction from industry average of 85 days to under 60 days for qualified candidates</w:t>
      </w:r>
    </w:p>
    <w:p>
      <w:pPr>
        <w:numPr>
          <w:ilvl w:val="0"/>
          <w:numId w:val="1006"/>
        </w:numPr>
        <w:pStyle w:val="Compact"/>
      </w:pPr>
      <w:r>
        <w:rPr>
          <w:bCs/>
          <w:b/>
        </w:rPr>
        <w:t xml:space="preserve">Brand Perception:</w:t>
      </w:r>
      <w:r>
        <w:t xml:space="preserve"> </w:t>
      </w:r>
      <w:r>
        <w:t xml:space="preserve">Post-campaign survey measuring "Frankfurt as a preferred research location" (Target: +25% positive sentiment)</w:t>
      </w:r>
    </w:p>
    <w:bookmarkEnd w:id="30"/>
    <w:bookmarkStart w:id="31" w:name="X2d315859c3a201b3fb5fb273ddf59ac24f1ade8"/>
    <w:p>
      <w:pPr>
        <w:pStyle w:val="Heading2"/>
      </w:pPr>
      <w:r>
        <w:t xml:space="preserve">Conclusion: Why Frankfurt is Non-Negotiable for This Medical Researcher Role</w:t>
      </w:r>
    </w:p>
    <w:p>
      <w:pPr>
        <w:pStyle w:val="FirstParagraph"/>
      </w:pPr>
      <w:r>
        <w:t xml:space="preserve">This Marketing Plan deliberately centers Germany Frankfurt as the strategic differentiator. Unlike generic recruitment campaigns, we weaponize Frankfurt's unique scientific infrastructure to attract researchers who understand that their Medical Researcher work in this city directly impacts EU healthcare policy and accelerates career trajectories. By embedding "Frankfurt" into every narrative—through EMA proximity, biotech valley access, and cultural assets—we transform the job opportunity from a position into a strategic career move within Europe's medical innovation capital. The success of this Marketing Plan will be measured not just by filled roles, but by establishing Frankfurt as the undisputed destination for Medical Researcher talent in Germany and across Europe. This is where breakthrough research happens, and our campaign positions this role at the heart of that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Germany Frankfurt</dc:title>
  <dc:creator/>
  <dc:language>en</dc:language>
  <cp:keywords/>
  <dcterms:created xsi:type="dcterms:W3CDTF">2026-07-24T18:54:04Z</dcterms:created>
  <dcterms:modified xsi:type="dcterms:W3CDTF">2026-07-24T18:54:04Z</dcterms:modified>
</cp:coreProperties>
</file>

<file path=docProps/custom.xml><?xml version="1.0" encoding="utf-8"?>
<Properties xmlns="http://schemas.openxmlformats.org/officeDocument/2006/custom-properties" xmlns:vt="http://schemas.openxmlformats.org/officeDocument/2006/docPropsVTypes"/>
</file>