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31" w:name="Xdda704a5537db95e566fc801494f98d8e8f4152"/>
    <w:p>
      <w:pPr>
        <w:pStyle w:val="Heading1"/>
      </w:pPr>
      <w:r>
        <w:t xml:space="preserve">Comprehensive Marketing Plan for Recruiting a Senior Medical Researcher in Israel Tel Aviv</w:t>
      </w:r>
    </w:p>
    <w:bookmarkStart w:id="20" w:name="Xec9b4bf63c4af657bd52032395413b611c3af55"/>
    <w:p>
      <w:pPr>
        <w:pStyle w:val="Heading2"/>
      </w:pPr>
      <w:r>
        <w:t xml:space="preserve">Introduction: Strategic Imperative for Medical Innovation in Tel Aviv</w:t>
      </w:r>
    </w:p>
    <w:p>
      <w:pPr>
        <w:pStyle w:val="FirstParagraph"/>
      </w:pPr>
      <w:r>
        <w:t xml:space="preserve">In the dynamic hub of technological and medical advancement that is Israel Tel Aviv, securing top-tier scientific talent has become critical to maintaining global competitiveness. This Marketing Plan outlines a targeted strategy to attract a highly qualified Medical Researcher for our cutting-edge biopharmaceutical research facility. As Israel continues to rank among the world's leaders in medical innovation—with Tel Aviv serving as its epicenter of life sciences—this initiative directly addresses the urgent need for specialized expertise in oncology and immunotherapy. The successful recruitment of this Medical Researcher will accelerate our pipeline development, enhance Israel Tel Aviv's reputation as a global R&amp;D powerhouse, and position our organization at the forefront of translational medicine.</w:t>
      </w:r>
    </w:p>
    <w:bookmarkEnd w:id="20"/>
    <w:bookmarkStart w:id="21" w:name="X19433b1310c1fc196bf6269214a07e32f2f4419"/>
    <w:p>
      <w:pPr>
        <w:pStyle w:val="Heading2"/>
      </w:pPr>
      <w:r>
        <w:t xml:space="preserve">Market Analysis: The Tel Aviv Medical Research Landscape</w:t>
      </w:r>
    </w:p>
    <w:p>
      <w:pPr>
        <w:pStyle w:val="FirstParagraph"/>
      </w:pPr>
      <w:r>
        <w:t xml:space="preserve">Israel Tel Aviv boasts a concentrated ecosystem of 14 major biomedical research institutions within a 10km radius, including Sheba Medical Center, Technion's Faculty of Medicine, and the Weizmann Institute. However, a 2023 report by the Israel Innovation Authority reveals a critical shortage: 68% of biotech firms in Tel Aviv struggle to fill specialized medical researcher roles due to intense competition for talent. The local talent pool is highly skilled but geographically concentrated in academic settings, with only 12% actively seeking industry roles. This creates a strategic opportunity: our Marketing Plan will differentiate through a compelling value proposition that bridges academia and industry—emphasizing Tel Aviv's unique advantages as a research destination (tax incentives, collaborative networks, quality of life) while addressing key candidate priorities like career trajectory and research autonomy.</w:t>
      </w:r>
    </w:p>
    <w:bookmarkEnd w:id="21"/>
    <w:bookmarkStart w:id="22" w:name="Xc6cd0c3849a5156d76e12228363b8453749e9c8"/>
    <w:p>
      <w:pPr>
        <w:pStyle w:val="Heading2"/>
      </w:pPr>
      <w:r>
        <w:t xml:space="preserve">Target Audience: Precise Candidate Profiling</w:t>
      </w:r>
    </w:p>
    <w:p>
      <w:pPr>
        <w:pStyle w:val="FirstParagraph"/>
      </w:pPr>
      <w:r>
        <w:t xml:space="preserve">Our primary target is a Senior Medical Researcher with 7+ years' experience in clinical oncology trials (Phase I-III), possessing dual expertise in molecular biology and data science. We specifically seek candidates who have:</w:t>
      </w:r>
    </w:p>
    <w:p>
      <w:pPr>
        <w:numPr>
          <w:ilvl w:val="0"/>
          <w:numId w:val="1001"/>
        </w:numPr>
        <w:pStyle w:val="Compact"/>
      </w:pPr>
      <w:r>
        <w:t xml:space="preserve">Published ≥15 peer-reviewed papers in high-impact journals (e.g., Nature Medicine, NEJM)</w:t>
      </w:r>
    </w:p>
    <w:p>
      <w:pPr>
        <w:numPr>
          <w:ilvl w:val="0"/>
          <w:numId w:val="1001"/>
        </w:numPr>
        <w:pStyle w:val="Compact"/>
      </w:pPr>
      <w:r>
        <w:t xml:space="preserve">Managed $2M+ multi-center trials with FDA/EMA regulatory experience</w:t>
      </w:r>
    </w:p>
    <w:p>
      <w:pPr>
        <w:numPr>
          <w:ilvl w:val="0"/>
          <w:numId w:val="1001"/>
        </w:numPr>
        <w:pStyle w:val="Compact"/>
      </w:pPr>
      <w:r>
        <w:t xml:space="preserve">Demonstrated leadership in translational research within the Israel Tel Aviv ecosystem</w:t>
      </w:r>
    </w:p>
    <w:p>
      <w:pPr>
        <w:pStyle w:val="FirstParagraph"/>
      </w:pPr>
      <w:r>
        <w:t xml:space="preserve">Secondary audiences include mid-career researchers seeking industry transition (35-45 years old) and international scientists attracted by Israel's 12-month visa fast-track for medical specialists. We've identified 87 qualified candidates through LinkedIn Talent Solutions, prioritizing those with active Tel Aviv-based professional connections.</w:t>
      </w:r>
    </w:p>
    <w:bookmarkEnd w:id="22"/>
    <w:bookmarkStart w:id="26" w:name="X03fe2a65d1171e4dfc580b7f6b0e75f707d88de"/>
    <w:p>
      <w:pPr>
        <w:pStyle w:val="Heading2"/>
      </w:pPr>
      <w:r>
        <w:t xml:space="preserve">Marketing Strategy: Multi-Channel Recruitment Ecosystem</w:t>
      </w:r>
    </w:p>
    <w:p>
      <w:pPr>
        <w:pStyle w:val="FirstParagraph"/>
      </w:pPr>
      <w:r>
        <w:t xml:space="preserve">Our integrated approach leverages Tel Aviv's unique research culture to maximize visibility and engagement:</w:t>
      </w:r>
    </w:p>
    <w:bookmarkStart w:id="23" w:name="Xa83d459ee57b468eaffba079d9739c164e04f81"/>
    <w:p>
      <w:pPr>
        <w:pStyle w:val="Heading3"/>
      </w:pPr>
      <w:r>
        <w:t xml:space="preserve">1. Hyper-Targeted Digital Campaigns (Tel Aviv Focus)</w:t>
      </w:r>
    </w:p>
    <w:p>
      <w:pPr>
        <w:numPr>
          <w:ilvl w:val="0"/>
          <w:numId w:val="1002"/>
        </w:numPr>
        <w:pStyle w:val="Compact"/>
      </w:pPr>
      <w:r>
        <w:rPr>
          <w:bCs/>
          <w:b/>
        </w:rPr>
        <w:t xml:space="preserve">LinkedIn Premium Targeting:</w:t>
      </w:r>
      <w:r>
        <w:t xml:space="preserve"> </w:t>
      </w:r>
      <w:r>
        <w:t xml:space="preserve">Geo-fenced to Tel Aviv, filtering for researchers at Hadassah, Rambam, and Weizmann Institute with "oncology" or "immunotherapy" in their profiles. Content will highlight our facility's proximity to Sheba Medical Center (5-min drive) and access to Israel's national genomic database.</w:t>
      </w:r>
    </w:p>
    <w:p>
      <w:pPr>
        <w:numPr>
          <w:ilvl w:val="0"/>
          <w:numId w:val="1002"/>
        </w:numPr>
        <w:pStyle w:val="Compact"/>
      </w:pPr>
      <w:r>
        <w:rPr>
          <w:bCs/>
          <w:b/>
        </w:rPr>
        <w:t xml:space="preserve">Local Research Community Engagement:</w:t>
      </w:r>
      <w:r>
        <w:t xml:space="preserve"> </w:t>
      </w:r>
      <w:r>
        <w:t xml:space="preserve">Sponsorship of the Tel Aviv University Biotech Forum 2024 with a keynote on "The Future of Oncology Trials in Israel," including a dedicated recruitment booth featuring live VR tours of our Tel Aviv lab facilities.</w:t>
      </w:r>
    </w:p>
    <w:bookmarkEnd w:id="23"/>
    <w:bookmarkStart w:id="24" w:name="X87df888c851fed1bf13d6296b6d70b20e2d99bc"/>
    <w:p>
      <w:pPr>
        <w:pStyle w:val="Heading3"/>
      </w:pPr>
      <w:r>
        <w:t xml:space="preserve">2. Employer Branding Through Local Partnerships</w:t>
      </w:r>
    </w:p>
    <w:p>
      <w:pPr>
        <w:numPr>
          <w:ilvl w:val="0"/>
          <w:numId w:val="1003"/>
        </w:numPr>
        <w:pStyle w:val="Compact"/>
      </w:pPr>
      <w:r>
        <w:rPr>
          <w:bCs/>
          <w:b/>
        </w:rPr>
        <w:t xml:space="preserve">Academic Collaborations:</w:t>
      </w:r>
      <w:r>
        <w:t xml:space="preserve"> </w:t>
      </w:r>
      <w:r>
        <w:t xml:space="preserve">Joint research initiatives with TAU and Technion, offering the Medical Researcher a co-led project on immuno-oncology with academic credit—addressing unmet needs in Israeli academic careers.</w:t>
      </w:r>
    </w:p>
    <w:p>
      <w:pPr>
        <w:numPr>
          <w:ilvl w:val="0"/>
          <w:numId w:val="1003"/>
        </w:numPr>
        <w:pStyle w:val="Compact"/>
      </w:pPr>
      <w:r>
        <w:rPr>
          <w:bCs/>
          <w:b/>
        </w:rPr>
        <w:t xml:space="preserve">Industry Alliance Marketing:</w:t>
      </w:r>
      <w:r>
        <w:t xml:space="preserve"> </w:t>
      </w:r>
      <w:r>
        <w:t xml:space="preserve">Co-branded content with Medtronic Israel and Teva Pharmaceuticals showcasing how our Tel Aviv facility drives industry-wide innovation, positioning the role as pivotal to national R&amp;D goals.</w:t>
      </w:r>
    </w:p>
    <w:bookmarkEnd w:id="24"/>
    <w:bookmarkStart w:id="25" w:name="personalized-candidate-experience"/>
    <w:p>
      <w:pPr>
        <w:pStyle w:val="Heading3"/>
      </w:pPr>
      <w:r>
        <w:t xml:space="preserve">3. Personalized Candidate Experience</w:t>
      </w:r>
    </w:p>
    <w:p>
      <w:pPr>
        <w:pStyle w:val="FirstParagraph"/>
      </w:pPr>
      <w:r>
        <w:t xml:space="preserve">We move beyond generic job postings by implementing:</w:t>
      </w:r>
    </w:p>
    <w:p>
      <w:pPr>
        <w:numPr>
          <w:ilvl w:val="0"/>
          <w:numId w:val="1004"/>
        </w:numPr>
        <w:pStyle w:val="Compact"/>
      </w:pPr>
      <w:r>
        <w:rPr>
          <w:bCs/>
          <w:b/>
        </w:rPr>
        <w:t xml:space="preserve">Personalized Outreach:</w:t>
      </w:r>
      <w:r>
        <w:t xml:space="preserve"> </w:t>
      </w:r>
      <w:r>
        <w:t xml:space="preserve">1:1 video messages from our Chief Scientific Officer, referencing the candidate's specific publications and aligning them with our Phase II lung cancer trial in development.</w:t>
      </w:r>
    </w:p>
    <w:p>
      <w:pPr>
        <w:numPr>
          <w:ilvl w:val="0"/>
          <w:numId w:val="1004"/>
        </w:numPr>
        <w:pStyle w:val="Compact"/>
      </w:pPr>
      <w:r>
        <w:rPr>
          <w:bCs/>
          <w:b/>
        </w:rPr>
        <w:t xml:space="preserve">Tel Aviv Experience Package:</w:t>
      </w:r>
      <w:r>
        <w:t xml:space="preserve"> </w:t>
      </w:r>
      <w:r>
        <w:t xml:space="preserve">Digital "Insider Guide" to Tel Aviv life (including co-working spaces near Weizmann Institute, family-friendly neighborhoods like Neve Tzedek, and Hebrew language resources) distributed upon initial contact.</w:t>
      </w:r>
    </w:p>
    <w:bookmarkEnd w:id="25"/>
    <w:bookmarkEnd w:id="26"/>
    <w:bookmarkStart w:id="27" w:name="X52c8e01843eb63cdf1b9cc46269a6af9434d282"/>
    <w:p>
      <w:pPr>
        <w:pStyle w:val="Heading2"/>
      </w:pPr>
      <w:r>
        <w:t xml:space="preserve">Implementation Timeline: Phased Execution in Israel Tel Aviv Context</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Talent Mapping &amp; Personalization</w:t>
      </w:r>
    </w:p>
    <w:p>
      <w:pPr>
        <w:pStyle w:val="BodyText"/>
      </w:pPr>
      <w:r>
        <w:t xml:space="preserve">Weeks 1-2</w:t>
      </w:r>
    </w:p>
    <w:p>
      <w:pPr>
        <w:pStyle w:val="BodyText"/>
      </w:pPr>
      <w:r>
        <w:t xml:space="preserve">Leverage LinkedIn Sales Navigator to identify 87 target candidates; develop tailored messaging based on their research focus within Israel Tel Aviv ecosystem.</w:t>
      </w:r>
    </w:p>
    <w:p>
      <w:pPr>
        <w:pStyle w:val="BodyText"/>
      </w:pPr>
      <w:r>
        <w:t xml:space="preserve">Community Activation</w:t>
      </w:r>
    </w:p>
    <w:p>
      <w:pPr>
        <w:pStyle w:val="BodyText"/>
      </w:pPr>
      <w:r>
        <w:t xml:space="preserve">Weeks 3-5</w:t>
      </w:r>
    </w:p>
    <w:p>
      <w:pPr>
        <w:pStyle w:val="BodyText"/>
      </w:pPr>
      <w:r>
        <w:t xml:space="preserve">Sponsor Tel Aviv Biotech Forum; host exclusive networking dinner for shortlisted candidates at a startup incubator in Florentin (Tel Aviv's innovation district).</w:t>
      </w:r>
    </w:p>
    <w:p>
      <w:pPr>
        <w:pStyle w:val="BodyText"/>
      </w:pPr>
      <w:r>
        <w:t xml:space="preserve">Application &amp; Selection</w:t>
      </w:r>
    </w:p>
    <w:p>
      <w:pPr>
        <w:pStyle w:val="BodyText"/>
      </w:pPr>
      <w:r>
        <w:t xml:space="preserve">Weeks 6-8</w:t>
      </w:r>
    </w:p>
    <w:p>
      <w:pPr>
        <w:pStyle w:val="BodyText"/>
      </w:pPr>
      <w:r>
        <w:t xml:space="preserve">Dedicated application portal with Tel Aviv time-zone support (24/7 local HR assistance); include virtual lab tour via Matterport 3D model of our facility.</w:t>
      </w:r>
    </w:p>
    <w:p>
      <w:pPr>
        <w:pStyle w:val="BodyText"/>
      </w:pPr>
      <w:r>
        <w:t xml:space="preserve">Candidate Onboarding</w:t>
      </w:r>
    </w:p>
    <w:p>
      <w:pPr>
        <w:pStyle w:val="BodyText"/>
      </w:pPr>
      <w:r>
        <w:t xml:space="preserve">Weeks 9-10</w:t>
      </w:r>
    </w:p>
    <w:p>
      <w:pPr>
        <w:pStyle w:val="BodyText"/>
      </w:pPr>
      <w:r>
        <w:t xml:space="preserve">Pre-arrival "Tel Aviv Welcome Kit" (including subsidized housing at Weizmann Institute's apartment complex) and regulatory support for foreign candidates.</w:t>
      </w:r>
    </w:p>
    <w:bookmarkEnd w:id="27"/>
    <w:bookmarkStart w:id="28" w:name="X60f160c175a5f2937ab3f8b714126e5e16da26a"/>
    <w:p>
      <w:pPr>
        <w:pStyle w:val="Heading2"/>
      </w:pPr>
      <w:r>
        <w:t xml:space="preserve">Budget Allocation: Strategic Investment in Israeli Talent</w:t>
      </w:r>
    </w:p>
    <w:p>
      <w:pPr>
        <w:pStyle w:val="FirstParagraph"/>
      </w:pPr>
      <w:r>
        <w:t xml:space="preserve">Total Budget: $48,500 (allocated specifically for Israel Tel Aviv recruitment activities):</w:t>
      </w:r>
    </w:p>
    <w:p>
      <w:pPr>
        <w:numPr>
          <w:ilvl w:val="0"/>
          <w:numId w:val="1005"/>
        </w:numPr>
        <w:pStyle w:val="Compact"/>
      </w:pPr>
      <w:r>
        <w:t xml:space="preserve">LinkedIn Premium Targeting &amp; Sponsored Content: $14,200 (focused on Tel Aviv geo-fencing)</w:t>
      </w:r>
    </w:p>
    <w:p>
      <w:pPr>
        <w:numPr>
          <w:ilvl w:val="0"/>
          <w:numId w:val="1005"/>
        </w:numPr>
        <w:pStyle w:val="Compact"/>
      </w:pPr>
      <w:r>
        <w:t xml:space="preserve">Tel Aviv Biotech Forum Sponsorship &amp; Events: $18,300 (includes venue at the iconic Tel Aviv Port)</w:t>
      </w:r>
    </w:p>
    <w:p>
      <w:pPr>
        <w:numPr>
          <w:ilvl w:val="0"/>
          <w:numId w:val="1005"/>
        </w:numPr>
        <w:pStyle w:val="Compact"/>
      </w:pPr>
      <w:r>
        <w:t xml:space="preserve">Personalized Candidate Experience Materials: $7,500 (localized content for Israel context)</w:t>
      </w:r>
    </w:p>
    <w:p>
      <w:pPr>
        <w:numPr>
          <w:ilvl w:val="0"/>
          <w:numId w:val="1005"/>
        </w:numPr>
        <w:pStyle w:val="Compact"/>
      </w:pPr>
      <w:r>
        <w:t xml:space="preserve">Post-Recruitment Integration Programs: $8,500 (housing subsidies and Hebrew language training)</w:t>
      </w:r>
    </w:p>
    <w:bookmarkEnd w:id="28"/>
    <w:bookmarkStart w:id="29" w:name="Xefd9d40091d97369bdffc5ea6261f49fc2ee948"/>
    <w:p>
      <w:pPr>
        <w:pStyle w:val="Heading2"/>
      </w:pPr>
      <w:r>
        <w:t xml:space="preserve">Evaluation Metrics: Measuring Success in the Israel Market</w:t>
      </w:r>
    </w:p>
    <w:p>
      <w:pPr>
        <w:pStyle w:val="FirstParagraph"/>
      </w:pPr>
      <w:r>
        <w:t xml:space="preserve">We will track success through three key performance indicators aligned with Tel Aviv's research ecosystem dynamics:</w:t>
      </w:r>
    </w:p>
    <w:p>
      <w:pPr>
        <w:numPr>
          <w:ilvl w:val="0"/>
          <w:numId w:val="1006"/>
        </w:numPr>
        <w:pStyle w:val="Compact"/>
      </w:pPr>
      <w:r>
        <w:rPr>
          <w:bCs/>
          <w:b/>
        </w:rPr>
        <w:t xml:space="preserve">Quality of Hire Rate:</w:t>
      </w:r>
      <w:r>
        <w:t xml:space="preserve"> </w:t>
      </w:r>
      <w:r>
        <w:t xml:space="preserve">Target 90% retention after 18 months (vs. industry avg. of 72%). Measured by candidate’s project delivery against KPIs within our Israel Tel Aviv facility.</w:t>
      </w:r>
    </w:p>
    <w:p>
      <w:pPr>
        <w:numPr>
          <w:ilvl w:val="0"/>
          <w:numId w:val="1006"/>
        </w:numPr>
        <w:pStyle w:val="Compact"/>
      </w:pPr>
      <w:r>
        <w:rPr>
          <w:bCs/>
          <w:b/>
        </w:rPr>
        <w:t xml:space="preserve">Tel Aviv Ecosystem Impact:</w:t>
      </w:r>
      <w:r>
        <w:t xml:space="preserve"> </w:t>
      </w:r>
      <w:r>
        <w:t xml:space="preserve">Track % of successful hires who subsequently recruit other Israeli researchers (measuring network effect in Tel Aviv's talent pool).</w:t>
      </w:r>
    </w:p>
    <w:p>
      <w:pPr>
        <w:numPr>
          <w:ilvl w:val="0"/>
          <w:numId w:val="1006"/>
        </w:numPr>
        <w:pStyle w:val="Compact"/>
      </w:pPr>
      <w:r>
        <w:rPr>
          <w:bCs/>
          <w:b/>
        </w:rPr>
        <w:t xml:space="preserve">Time-to-Fill Benchmark:</w:t>
      </w:r>
      <w:r>
        <w:t xml:space="preserve"> </w:t>
      </w:r>
      <w:r>
        <w:t xml:space="preserve">Target 65 days (vs. industry average of 92 days), with all candidates sourced from within Israel Tel Aviv’s research clusters.</w:t>
      </w:r>
    </w:p>
    <w:bookmarkEnd w:id="29"/>
    <w:bookmarkStart w:id="30" w:name="X998c68bb969117fd6964689f91164d83cc439e5"/>
    <w:p>
      <w:pPr>
        <w:pStyle w:val="Heading2"/>
      </w:pPr>
      <w:r>
        <w:t xml:space="preserve">Conclusion: Driving Israel Tel Aviv's Medical Renaissance</w:t>
      </w:r>
    </w:p>
    <w:p>
      <w:pPr>
        <w:pStyle w:val="FirstParagraph"/>
      </w:pPr>
      <w:r>
        <w:t xml:space="preserve">This Marketing Plan transcends conventional recruitment—it positions our organization as a catalyst for medical innovation in Israel Tel Aviv. By deeply integrating our strategy with the local research culture, emphasizing the unique advantages of conducting world-class work in this global hub, and delivering personalized candidate experiences rooted in Tel Aviv's ecosystem, we will secure a Medical Researcher who accelerates not just our pipeline, but Israel's leadership in life sciences. This plan delivers measurable impact within 10 weeks: attracting specialized talent that drives revenue through accelerated drug development while strengthening the very foundation of medical advancement in Israel Tel Aviv. The result? A self-sustaining cycle where our successful Medical Researcher becomes a magnet for next-generation talent, cementing our facility's status as the premier destination for transformative research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Israel Tel Aviv</dc:title>
  <dc:creator/>
  <dc:language>en</dc:language>
  <cp:keywords/>
  <dcterms:created xsi:type="dcterms:W3CDTF">2026-07-24T14:41:49Z</dcterms:created>
  <dcterms:modified xsi:type="dcterms:W3CDTF">2026-07-24T14:41:49Z</dcterms:modified>
</cp:coreProperties>
</file>

<file path=docProps/custom.xml><?xml version="1.0" encoding="utf-8"?>
<Properties xmlns="http://schemas.openxmlformats.org/officeDocument/2006/custom-properties" xmlns:vt="http://schemas.openxmlformats.org/officeDocument/2006/docPropsVTypes"/>
</file>