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Medical</w:t>
      </w:r>
      <w:r>
        <w:t xml:space="preserve"> </w:t>
      </w:r>
      <w:r>
        <w:t xml:space="preserve">Researcher</w:t>
      </w:r>
      <w:r>
        <w:t xml:space="preserve"> </w:t>
      </w:r>
      <w:r>
        <w:t xml:space="preserve">Recruitment</w:t>
      </w:r>
      <w:r>
        <w:t xml:space="preserve"> </w:t>
      </w:r>
      <w:r>
        <w:t xml:space="preserve">in</w:t>
      </w:r>
      <w:r>
        <w:t xml:space="preserve"> </w:t>
      </w:r>
      <w:r>
        <w:t xml:space="preserve">Kuala</w:t>
      </w:r>
      <w:r>
        <w:t xml:space="preserve"> </w:t>
      </w:r>
      <w:r>
        <w:t xml:space="preserve">Lumpur,</w:t>
      </w:r>
      <w:r>
        <w:t xml:space="preserve"> </w:t>
      </w:r>
      <w:r>
        <w:t xml:space="preserve">Malaysia</w:t>
      </w:r>
    </w:p>
    <w:bookmarkStart w:id="31" w:name="X8fc4fa8f6b4e4e87b80b6f5e26e8de7b92474a6"/>
    <w:p>
      <w:pPr>
        <w:pStyle w:val="Heading1"/>
      </w:pPr>
      <w:r>
        <w:t xml:space="preserve">Strategic Marketing Plan for Attracting Elite Medical Researchers to Kuala Lumpur, Malaysia</w:t>
      </w:r>
    </w:p>
    <w:bookmarkStart w:id="20" w:name="executive-summary"/>
    <w:p>
      <w:pPr>
        <w:pStyle w:val="Heading2"/>
      </w:pPr>
      <w:r>
        <w:t xml:space="preserve">Executive Summary</w:t>
      </w:r>
    </w:p>
    <w:p>
      <w:pPr>
        <w:pStyle w:val="FirstParagraph"/>
      </w:pPr>
      <w:r>
        <w:t xml:space="preserve">This comprehensive Marketing Plan outlines a targeted strategy to recruit world-class Medical Researchers for our research institution in Kuala Lumpur, Malaysia. As Southeast Asia's medical innovation hub, Kuala Lumpur offers unparalleled opportunities within the Malaysian healthcare ecosystem. This plan addresses the critical need to position our organization as the premier destination for Medical Researchers seeking impactful careers aligned with Malaysia's National Strategic Plan for Medical Research (MyMRP). By leveraging local strengths and global talent networks, we will establish a sustainable pipeline of exceptional researchers dedicated to advancing healthcare solutions for Malaysia and ASEAN communities.</w:t>
      </w:r>
    </w:p>
    <w:bookmarkEnd w:id="20"/>
    <w:bookmarkStart w:id="21" w:name="X74d995d65a3ba955f3d86780770c0a8613ef3a3"/>
    <w:p>
      <w:pPr>
        <w:pStyle w:val="Heading2"/>
      </w:pPr>
      <w:r>
        <w:t xml:space="preserve">Market Analysis: Kuala Lumpur's Medical Research Landscape</w:t>
      </w:r>
    </w:p>
    <w:p>
      <w:pPr>
        <w:pStyle w:val="FirstParagraph"/>
      </w:pPr>
      <w:r>
        <w:t xml:space="preserve">Kuala Lumpur has emerged as the epicenter of medical research in Malaysia, home to 60% of the nation's clinical trials and leading institutions like University of Malaya Medical Centre, Institute for Medical Research (IMR), and Sunway Medical Centre. The Malaysian government's commitment to healthcare innovation through initiatives like MyMRP (2021-2030) prioritizes research in infectious diseases, cancer therapeutics, and digital health – directly aligning with our strategic focus areas. However, a 2023 Ministry of Health report identifies a 45% gap in specialized Medical Researchers for high-impact projects. This presents a critical opportunity for forward-thinking organizations to capture top talent by emphasizing Malaysia Kuala Lumpur's unique advantages: competitive tax incentives for researchers, world-class research facilities within the KL Convergence City initiative, and seamless integration with ASEAN clinical networks.</w:t>
      </w:r>
    </w:p>
    <w:bookmarkEnd w:id="21"/>
    <w:bookmarkStart w:id="22" w:name="X6695bb94fb6068e216b43b213039380930b7bf1"/>
    <w:p>
      <w:pPr>
        <w:pStyle w:val="Heading2"/>
      </w:pPr>
      <w:r>
        <w:t xml:space="preserve">Target Audience: Medical Researcher Persona</w:t>
      </w:r>
    </w:p>
    <w:p>
      <w:pPr>
        <w:pStyle w:val="FirstParagraph"/>
      </w:pPr>
      <w:r>
        <w:t xml:space="preserve">Our ideal Medical Researcher candidate possesses:</w:t>
      </w:r>
    </w:p>
    <w:p>
      <w:pPr>
        <w:numPr>
          <w:ilvl w:val="0"/>
          <w:numId w:val="1001"/>
        </w:numPr>
        <w:pStyle w:val="Compact"/>
      </w:pPr>
      <w:r>
        <w:t xml:space="preserve">PhD or MD/PhD in Biomedical Sciences, Oncology, or Infectious Diseases (5+ years' experience)</w:t>
      </w:r>
    </w:p>
    <w:p>
      <w:pPr>
        <w:numPr>
          <w:ilvl w:val="0"/>
          <w:numId w:val="1001"/>
        </w:numPr>
        <w:pStyle w:val="Compact"/>
      </w:pPr>
      <w:r>
        <w:t xml:space="preserve">A proven track record of high-impact publications in Q1 journals</w:t>
      </w:r>
    </w:p>
    <w:p>
      <w:pPr>
        <w:numPr>
          <w:ilvl w:val="0"/>
          <w:numId w:val="1001"/>
        </w:numPr>
        <w:pStyle w:val="Compact"/>
      </w:pPr>
      <w:r>
        <w:t xml:space="preserve">Experience managing multi-country clinical trials (ASEAN focus preferred)</w:t>
      </w:r>
    </w:p>
    <w:p>
      <w:pPr>
        <w:numPr>
          <w:ilvl w:val="0"/>
          <w:numId w:val="1001"/>
        </w:numPr>
        <w:pStyle w:val="Compact"/>
      </w:pPr>
      <w:r>
        <w:t xml:space="preserve">Strong interest in contributing to Malaysia's healthcare transformation goals</w:t>
      </w:r>
    </w:p>
    <w:p>
      <w:pPr>
        <w:pStyle w:val="FirstParagraph"/>
      </w:pPr>
      <w:r>
        <w:t xml:space="preserve">This persona is actively seeking roles offering:</w:t>
      </w:r>
    </w:p>
    <w:p>
      <w:pPr>
        <w:numPr>
          <w:ilvl w:val="0"/>
          <w:numId w:val="1002"/>
        </w:numPr>
        <w:pStyle w:val="Compact"/>
      </w:pPr>
      <w:r>
        <w:t xml:space="preserve">Research autonomy within a globally connected institution</w:t>
      </w:r>
    </w:p>
    <w:p>
      <w:pPr>
        <w:numPr>
          <w:ilvl w:val="0"/>
          <w:numId w:val="1002"/>
        </w:numPr>
        <w:pStyle w:val="Compact"/>
      </w:pPr>
      <w:r>
        <w:t xml:space="preserve">Competitive compensation with relocation support (critical for international candidates)</w:t>
      </w:r>
    </w:p>
    <w:p>
      <w:pPr>
        <w:numPr>
          <w:ilvl w:val="0"/>
          <w:numId w:val="1002"/>
        </w:numPr>
        <w:pStyle w:val="Compact"/>
      </w:pPr>
      <w:r>
        <w:t xml:space="preserve">Pathways to influence national health policies through Malaysia's research ecosystem</w:t>
      </w:r>
    </w:p>
    <w:bookmarkEnd w:id="22"/>
    <w:bookmarkStart w:id="23" w:name="Xf5e5a08e4cf0acc910806520988645c4f3739b8"/>
    <w:p>
      <w:pPr>
        <w:pStyle w:val="Heading2"/>
      </w:pPr>
      <w:r>
        <w:t xml:space="preserve">Unique Value Proposition for Medical Researchers in Kuala Lumpur</w:t>
      </w:r>
    </w:p>
    <w:p>
      <w:pPr>
        <w:pStyle w:val="FirstParagraph"/>
      </w:pPr>
      <w:r>
        <w:t xml:space="preserve">We position our organization as the optimal launchpad for Medical Researchers aiming to make regional impact. Unlike generic recruitment, our proposition explicitly highlights:</w:t>
      </w:r>
    </w:p>
    <w:p>
      <w:pPr>
        <w:numPr>
          <w:ilvl w:val="0"/>
          <w:numId w:val="1003"/>
        </w:numPr>
        <w:pStyle w:val="Compact"/>
      </w:pPr>
      <w:r>
        <w:rPr>
          <w:bCs/>
          <w:b/>
        </w:rPr>
        <w:t xml:space="preserve">Malaysia KL Advantage:</w:t>
      </w:r>
      <w:r>
        <w:t xml:space="preserve"> </w:t>
      </w:r>
      <w:r>
        <w:t xml:space="preserve">Access to 100% government-supported clinical trial sites across Peninsular Malaysia, with Kuala Lumpur serving as the central coordination hub for ASEAN research networks.</w:t>
      </w:r>
    </w:p>
    <w:p>
      <w:pPr>
        <w:numPr>
          <w:ilvl w:val="0"/>
          <w:numId w:val="1003"/>
        </w:numPr>
        <w:pStyle w:val="Compact"/>
      </w:pPr>
      <w:r>
        <w:rPr>
          <w:bCs/>
          <w:b/>
        </w:rPr>
        <w:t xml:space="preserve">Accelerated Impact:</w:t>
      </w:r>
      <w:r>
        <w:t xml:space="preserve"> </w:t>
      </w:r>
      <w:r>
        <w:t xml:space="preserve">Fast-track approval processes through the National Medical Research Ethics Committee (NMREC), reducing study setup time by 38% versus regional peers.</w:t>
      </w:r>
    </w:p>
    <w:p>
      <w:pPr>
        <w:numPr>
          <w:ilvl w:val="0"/>
          <w:numId w:val="1003"/>
        </w:numPr>
        <w:pStyle w:val="Compact"/>
      </w:pPr>
      <w:r>
        <w:rPr>
          <w:bCs/>
          <w:b/>
        </w:rPr>
        <w:t xml:space="preserve">Cultural Integration:</w:t>
      </w:r>
      <w:r>
        <w:t xml:space="preserve"> </w:t>
      </w:r>
      <w:r>
        <w:t xml:space="preserve">Tailored support including Malay language training, family relocation assistance, and partnerships with KL International School – addressing key concerns for expatriate researchers.</w:t>
      </w:r>
    </w:p>
    <w:bookmarkEnd w:id="23"/>
    <w:bookmarkStart w:id="27" w:name="marketing-recruitment-strategy"/>
    <w:p>
      <w:pPr>
        <w:pStyle w:val="Heading2"/>
      </w:pPr>
      <w:r>
        <w:t xml:space="preserve">Marketing &amp; Recruitment Strategy</w:t>
      </w:r>
    </w:p>
    <w:p>
      <w:pPr>
        <w:pStyle w:val="FirstParagraph"/>
      </w:pPr>
      <w:r>
        <w:t xml:space="preserve">Our 18-month recruitment campaign leverages hyper-localized tactics in Kuala Lumpur combined with global outreach:</w:t>
      </w:r>
    </w:p>
    <w:bookmarkStart w:id="24" w:name="Xa600ec06c9b032cb6213a80f876bce975e5fb99"/>
    <w:p>
      <w:pPr>
        <w:pStyle w:val="Heading3"/>
      </w:pPr>
      <w:r>
        <w:t xml:space="preserve">Phase 1: Malaysia KL Talent Mapping (Months 1-3)</w:t>
      </w:r>
    </w:p>
    <w:p>
      <w:pPr>
        <w:numPr>
          <w:ilvl w:val="0"/>
          <w:numId w:val="1004"/>
        </w:numPr>
        <w:pStyle w:val="Compact"/>
      </w:pPr>
      <w:r>
        <w:t xml:space="preserve">Partner with University of Malaya and International Medical University for targeted researcher databases</w:t>
      </w:r>
    </w:p>
    <w:p>
      <w:pPr>
        <w:numPr>
          <w:ilvl w:val="0"/>
          <w:numId w:val="1004"/>
        </w:numPr>
        <w:pStyle w:val="Compact"/>
      </w:pPr>
      <w:r>
        <w:t xml:space="preserve">Create "KL Research Ambassador" program recruiting current Medical Researchers to advocate within local networks</w:t>
      </w:r>
    </w:p>
    <w:p>
      <w:pPr>
        <w:numPr>
          <w:ilvl w:val="0"/>
          <w:numId w:val="1004"/>
        </w:numPr>
        <w:pStyle w:val="Compact"/>
      </w:pPr>
      <w:r>
        <w:t xml:space="preserve">Host exclusive "ASEAN Research Horizon" roundtables at Kuala Lumpur Convention Centre, featuring Ministry of Health leaders</w:t>
      </w:r>
    </w:p>
    <w:bookmarkEnd w:id="24"/>
    <w:bookmarkStart w:id="25" w:name="X32ae394955f812742714aa5080fb89318a21854"/>
    <w:p>
      <w:pPr>
        <w:pStyle w:val="Heading3"/>
      </w:pPr>
      <w:r>
        <w:t xml:space="preserve">Phase 2: Global Campaign with KL Focus (Months 4-10)</w:t>
      </w:r>
    </w:p>
    <w:p>
      <w:pPr>
        <w:numPr>
          <w:ilvl w:val="0"/>
          <w:numId w:val="1005"/>
        </w:numPr>
        <w:pStyle w:val="Compact"/>
      </w:pPr>
      <w:r>
        <w:t xml:space="preserve">LinkedIn campaigns targeting researchers in the UK, Australia, and Singapore with ad copy emphasizing "Malaysia Kuala Lumpur: Your ASEAN Research Hub" (e.g., "Lead groundbreaking trials across 10 ASEAN nations from your KL base")</w:t>
      </w:r>
    </w:p>
    <w:p>
      <w:pPr>
        <w:numPr>
          <w:ilvl w:val="0"/>
          <w:numId w:val="1005"/>
        </w:numPr>
        <w:pStyle w:val="Compact"/>
      </w:pPr>
      <w:r>
        <w:t xml:space="preserve">Webinars featuring current Medical Researchers sharing success stories from KL projects (e.g., malaria vaccine trials at Hospital Kuala Lumpur)</w:t>
      </w:r>
    </w:p>
    <w:p>
      <w:pPr>
        <w:numPr>
          <w:ilvl w:val="0"/>
          <w:numId w:val="1005"/>
        </w:numPr>
        <w:pStyle w:val="Compact"/>
      </w:pPr>
      <w:r>
        <w:t xml:space="preserve">Customized content for international job portals highlighting Malaysia's new Research and Innovation Hub tax incentives</w:t>
      </w:r>
    </w:p>
    <w:bookmarkEnd w:id="25"/>
    <w:bookmarkStart w:id="26" w:name="Xe94a0a00ac10e5a23ee25b60d4bc4a0337dec10"/>
    <w:p>
      <w:pPr>
        <w:pStyle w:val="Heading3"/>
      </w:pPr>
      <w:r>
        <w:t xml:space="preserve">Phase 3: On-the-Ground Activation in KL (Months 11-18)</w:t>
      </w:r>
    </w:p>
    <w:p>
      <w:pPr>
        <w:numPr>
          <w:ilvl w:val="0"/>
          <w:numId w:val="1006"/>
        </w:numPr>
        <w:pStyle w:val="Compact"/>
      </w:pPr>
      <w:r>
        <w:t xml:space="preserve">Pop-up "Research Discovery" events at KLCC and Bukit Bintang with interactive exhibits of current projects</w:t>
      </w:r>
    </w:p>
    <w:p>
      <w:pPr>
        <w:numPr>
          <w:ilvl w:val="0"/>
          <w:numId w:val="1006"/>
        </w:numPr>
        <w:pStyle w:val="Compact"/>
      </w:pPr>
      <w:r>
        <w:t xml:space="preserve">Sponsorship of the Malaysia Medical Research Conference (MMRC) in Kuala Lumpur as "Preferred Employer"</w:t>
      </w:r>
    </w:p>
    <w:p>
      <w:pPr>
        <w:numPr>
          <w:ilvl w:val="0"/>
          <w:numId w:val="1006"/>
        </w:numPr>
        <w:pStyle w:val="Compact"/>
      </w:pPr>
      <w:r>
        <w:t xml:space="preserve">Collaboration with MDEC (Malaysia Digital Economy Corporation) for digital storytelling campaigns showcasing KL's research infrastructure</w:t>
      </w:r>
    </w:p>
    <w:bookmarkEnd w:id="26"/>
    <w:bookmarkEnd w:id="27"/>
    <w:bookmarkStart w:id="28" w:name="budget-allocation-local-considerations"/>
    <w:p>
      <w:pPr>
        <w:pStyle w:val="Heading2"/>
      </w:pPr>
      <w:r>
        <w:t xml:space="preserve">Budget Allocation &amp; Local Considerations</w:t>
      </w:r>
    </w:p>
    <w:p>
      <w:pPr>
        <w:pStyle w:val="FirstParagraph"/>
      </w:pPr>
      <w:r>
        <w:t xml:space="preserve">The Malaysia Kuala Lumpur-focused campaign requires strategic resource allocation:</w:t>
      </w:r>
    </w:p>
    <w:p>
      <w:pPr>
        <w:numPr>
          <w:ilvl w:val="0"/>
          <w:numId w:val="1007"/>
        </w:numPr>
        <w:pStyle w:val="Compact"/>
      </w:pPr>
      <w:r>
        <w:t xml:space="preserve">65% to local recruitment channels (KL events, university partnerships)</w:t>
      </w:r>
    </w:p>
    <w:p>
      <w:pPr>
        <w:numPr>
          <w:ilvl w:val="0"/>
          <w:numId w:val="1007"/>
        </w:numPr>
        <w:pStyle w:val="Compact"/>
      </w:pPr>
      <w:r>
        <w:t xml:space="preserve">25% to global digital campaigns targeting key researcher hubs</w:t>
      </w:r>
    </w:p>
    <w:p>
      <w:pPr>
        <w:numPr>
          <w:ilvl w:val="0"/>
          <w:numId w:val="1007"/>
        </w:numPr>
        <w:pStyle w:val="Compact"/>
      </w:pPr>
      <w:r>
        <w:t xml:space="preserve">10% for cultural integration services (language training, housing assistance)</w:t>
      </w:r>
    </w:p>
    <w:bookmarkEnd w:id="28"/>
    <w:bookmarkStart w:id="29" w:name="success-metrics-malaysia-kl-alignment"/>
    <w:p>
      <w:pPr>
        <w:pStyle w:val="Heading2"/>
      </w:pPr>
      <w:r>
        <w:t xml:space="preserve">Success Metrics &amp; Malaysia-KL Alignment</w:t>
      </w:r>
    </w:p>
    <w:p>
      <w:pPr>
        <w:pStyle w:val="FirstParagraph"/>
      </w:pPr>
      <w:r>
        <w:t xml:space="preserve">We measure success through KPIs directly tied to Malaysia's medical research ecosystem:</w:t>
      </w:r>
    </w:p>
    <w:p>
      <w:pPr>
        <w:numPr>
          <w:ilvl w:val="0"/>
          <w:numId w:val="1008"/>
        </w:numPr>
        <w:pStyle w:val="Compact"/>
      </w:pPr>
      <w:r>
        <w:rPr>
          <w:bCs/>
          <w:b/>
        </w:rPr>
        <w:t xml:space="preserve">Target:</w:t>
      </w:r>
      <w:r>
        <w:t xml:space="preserve"> </w:t>
      </w:r>
      <w:r>
        <w:t xml:space="preserve">30 Medical Researchers recruited within 18 months (40% from international candidates)</w:t>
      </w:r>
    </w:p>
    <w:p>
      <w:pPr>
        <w:numPr>
          <w:ilvl w:val="0"/>
          <w:numId w:val="1008"/>
        </w:numPr>
        <w:pStyle w:val="Compact"/>
      </w:pPr>
      <w:r>
        <w:rPr>
          <w:bCs/>
          <w:b/>
        </w:rPr>
        <w:t xml:space="preserve">Local Impact:</w:t>
      </w:r>
      <w:r>
        <w:t xml:space="preserve"> </w:t>
      </w:r>
      <w:r>
        <w:t xml:space="preserve">Minimum of 75% of new hires contributing to MyMRP priority areas (cancer, infectious disease)</w:t>
      </w:r>
    </w:p>
    <w:p>
      <w:pPr>
        <w:numPr>
          <w:ilvl w:val="0"/>
          <w:numId w:val="1008"/>
        </w:numPr>
        <w:pStyle w:val="Compact"/>
      </w:pPr>
      <w:r>
        <w:rPr>
          <w:bCs/>
          <w:b/>
        </w:rPr>
        <w:t xml:space="preserve">KL Integration:</w:t>
      </w:r>
      <w:r>
        <w:t xml:space="preserve"> </w:t>
      </w:r>
      <w:r>
        <w:t xml:space="preserve">≥90% candidate satisfaction on "Kuala Lumpur as a research destination" in post-employment surveys</w:t>
      </w:r>
    </w:p>
    <w:bookmarkEnd w:id="29"/>
    <w:bookmarkStart w:id="30" w:name="X4da91d4517e5d7c70095c0d8fa83b14deebd388"/>
    <w:p>
      <w:pPr>
        <w:pStyle w:val="Heading2"/>
      </w:pPr>
      <w:r>
        <w:t xml:space="preserve">Conclusion: Building Malaysia's Research Future</w:t>
      </w:r>
    </w:p>
    <w:p>
      <w:pPr>
        <w:pStyle w:val="FirstParagraph"/>
      </w:pPr>
      <w:r>
        <w:t xml:space="preserve">This Marketing Plan transforms the recruitment of Medical Researchers from a transactional process into an impactful strategy aligned with Malaysia Kuala Lumpur's national vision. By strategically positioning our institution within KL's evolving research landscape, we attract talent committed to accelerating healthcare innovation across ASEAN. The plan ensures every marketing touchpoint reinforces the unique value proposition: becoming part of Malaysia's medical research renaissance while making meaningful contributions from Kuala Lumpur – where global standards meet Southeast Asian context. This approach secures not just candidates, but strategic partners in Malaysia's journey toward healthcare leadership by 2030.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Medical Researcher Recruitment in Kuala Lumpur, Malaysia</dc:title>
  <dc:creator/>
  <dc:language>en</dc:language>
  <cp:keywords/>
  <dcterms:created xsi:type="dcterms:W3CDTF">2026-07-24T11:51:15Z</dcterms:created>
  <dcterms:modified xsi:type="dcterms:W3CDTF">2026-07-24T11:51:15Z</dcterms:modified>
</cp:coreProperties>
</file>

<file path=docProps/custom.xml><?xml version="1.0" encoding="utf-8"?>
<Properties xmlns="http://schemas.openxmlformats.org/officeDocument/2006/custom-properties" xmlns:vt="http://schemas.openxmlformats.org/officeDocument/2006/docPropsVTypes"/>
</file>