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Medical</w:t>
      </w:r>
      <w:r>
        <w:t xml:space="preserve"> </w:t>
      </w:r>
      <w:r>
        <w:t xml:space="preserve">Researchers</w:t>
      </w:r>
      <w:r>
        <w:t xml:space="preserve"> </w:t>
      </w:r>
      <w:r>
        <w:t xml:space="preserve">to</w:t>
      </w:r>
      <w:r>
        <w:t xml:space="preserve"> </w:t>
      </w:r>
      <w:r>
        <w:t xml:space="preserve">New</w:t>
      </w:r>
      <w:r>
        <w:t xml:space="preserve"> </w:t>
      </w:r>
      <w:r>
        <w:t xml:space="preserve">Zealand</w:t>
      </w:r>
      <w:r>
        <w:t xml:space="preserve"> </w:t>
      </w:r>
      <w:r>
        <w:t xml:space="preserve">Auckland</w:t>
      </w:r>
    </w:p>
    <w:bookmarkStart w:id="33" w:name="X1b5a5e8ae59433d135f78b9f101f42400d254fd"/>
    <w:p>
      <w:pPr>
        <w:pStyle w:val="Heading1"/>
      </w:pPr>
      <w:r>
        <w:t xml:space="preserve">Strategic Marketing Plan: Attracting Elite Medical Researchers to New Zealand Auckland</w:t>
      </w:r>
    </w:p>
    <w:bookmarkStart w:id="20" w:name="executive-summary"/>
    <w:p>
      <w:pPr>
        <w:pStyle w:val="Heading2"/>
      </w:pPr>
      <w:r>
        <w:t xml:space="preserve">Executive Summary</w:t>
      </w:r>
    </w:p>
    <w:p>
      <w:pPr>
        <w:pStyle w:val="FirstParagraph"/>
      </w:pPr>
      <w:r>
        <w:t xml:space="preserve">This comprehensive marketing plan outlines targeted strategies to position Auckland as the premier destination for world-class Medical Researchers within New Zealand. By leveraging the city's unique research ecosystem, cultural strengths, and strategic advantages, this plan aims to address critical talent shortages in health innovation while advancing Aotearoa's healthcare outcomes. With Auckland hosting 40% of New Zealand's medical research funding and home to institutions like the University of Auckland and AUT University, this initiative directly supports national health priorities while delivering measurable growth for the region.</w:t>
      </w:r>
    </w:p>
    <w:bookmarkEnd w:id="20"/>
    <w:bookmarkStart w:id="21" w:name="current-landscape-strategic-imperatives"/>
    <w:p>
      <w:pPr>
        <w:pStyle w:val="Heading2"/>
      </w:pPr>
      <w:r>
        <w:t xml:space="preserve">Current Landscape &amp; Strategic Imperatives</w:t>
      </w:r>
    </w:p>
    <w:p>
      <w:pPr>
        <w:pStyle w:val="FirstParagraph"/>
      </w:pPr>
      <w:r>
        <w:t xml:space="preserve">New Zealand faces a significant gap in specialized Medical Researcher talent, particularly in emerging fields like genomics, Māori health equity, and Pacific Islander chronic disease management. Auckland's research sector is constrained by competition from global hubs and insufficient local talent pipelines. This plan directly addresses these challenges by creating a compelling value proposition that resonates with high-calibre Medical Researchers seeking impactful work within a culturally rich, supportive environment. Crucially, it aligns with the Ministry of Health's "Healthier Lives 2020-2035" strategy and Te Tiriti o Waitangi principles for equitable research partnerships.</w:t>
      </w:r>
    </w:p>
    <w:bookmarkEnd w:id="21"/>
    <w:bookmarkStart w:id="22" w:name="target-audience-segmentation"/>
    <w:p>
      <w:pPr>
        <w:pStyle w:val="Heading2"/>
      </w:pPr>
      <w:r>
        <w:t xml:space="preserve">Target Audience Segmentation</w:t>
      </w:r>
    </w:p>
    <w:p>
      <w:pPr>
        <w:pStyle w:val="FirstParagraph"/>
      </w:pPr>
      <w:r>
        <w:t xml:space="preserve">We define three core segments for our marketing efforts:</w:t>
      </w:r>
    </w:p>
    <w:p>
      <w:pPr>
        <w:numPr>
          <w:ilvl w:val="0"/>
          <w:numId w:val="1001"/>
        </w:numPr>
        <w:pStyle w:val="Compact"/>
      </w:pPr>
      <w:r>
        <w:rPr>
          <w:bCs/>
          <w:b/>
        </w:rPr>
        <w:t xml:space="preserve">International Medical Researchers:</w:t>
      </w:r>
      <w:r>
        <w:t xml:space="preserve"> </w:t>
      </w:r>
      <w:r>
        <w:t xml:space="preserve">Early-career to senior scientists from Australia, UK, and Asia seeking new opportunities with strong immigration pathways (Skilled Migrant Category). They prioritize career growth, research funding access, and family-friendly environments.</w:t>
      </w:r>
    </w:p>
    <w:p>
      <w:pPr>
        <w:numPr>
          <w:ilvl w:val="0"/>
          <w:numId w:val="1001"/>
        </w:numPr>
        <w:pStyle w:val="Compact"/>
      </w:pPr>
      <w:r>
        <w:rPr>
          <w:bCs/>
          <w:b/>
        </w:rPr>
        <w:t xml:space="preserve">New Zealand-Based Medical Researchers:</w:t>
      </w:r>
      <w:r>
        <w:t xml:space="preserve"> </w:t>
      </w:r>
      <w:r>
        <w:t xml:space="preserve">Local talent facing retention challenges due to limited specialized roles. Targeted through professional development incentives and community connection programs.</w:t>
      </w:r>
    </w:p>
    <w:p>
      <w:pPr>
        <w:numPr>
          <w:ilvl w:val="0"/>
          <w:numId w:val="1001"/>
        </w:numPr>
        <w:pStyle w:val="Compact"/>
      </w:pPr>
      <w:r>
        <w:rPr>
          <w:bCs/>
          <w:b/>
        </w:rPr>
        <w:t xml:space="preserve">Māori &amp; Pacific Health Research Leaders:</w:t>
      </w:r>
      <w:r>
        <w:t xml:space="preserve"> </w:t>
      </w:r>
      <w:r>
        <w:t xml:space="preserve">Indigenous researchers central to addressing health disparities. This segment requires culturally embedded recruitment strategies respecting Te Ao Māori and Pacific values, including partnerships with iwi and Pacific research networks.</w:t>
      </w:r>
    </w:p>
    <w:bookmarkEnd w:id="22"/>
    <w:bookmarkStart w:id="23" w:name="unique-value-proposition-for-auckland"/>
    <w:p>
      <w:pPr>
        <w:pStyle w:val="Heading2"/>
      </w:pPr>
      <w:r>
        <w:t xml:space="preserve">Unique Value Proposition for Auckland</w:t>
      </w:r>
    </w:p>
    <w:p>
      <w:pPr>
        <w:pStyle w:val="FirstParagraph"/>
      </w:pPr>
      <w:r>
        <w:t xml:space="preserve">Auckland offers a distinct advantage over other New Zealand cities through:</w:t>
      </w:r>
    </w:p>
    <w:p>
      <w:pPr>
        <w:numPr>
          <w:ilvl w:val="0"/>
          <w:numId w:val="1002"/>
        </w:numPr>
        <w:pStyle w:val="Compact"/>
      </w:pPr>
      <w:r>
        <w:rPr>
          <w:bCs/>
          <w:b/>
        </w:rPr>
        <w:t xml:space="preserve">Research Ecosystem Integration:</w:t>
      </w:r>
      <w:r>
        <w:t xml:space="preserve"> </w:t>
      </w:r>
      <w:r>
        <w:t xml:space="preserve">Seamless collaboration between the University of Auckland, Waitematā District Health Board, and pharmaceutical companies (e.g., Novartis) in a single metropolitan area.</w:t>
      </w:r>
    </w:p>
    <w:p>
      <w:pPr>
        <w:numPr>
          <w:ilvl w:val="0"/>
          <w:numId w:val="1002"/>
        </w:numPr>
        <w:pStyle w:val="Compact"/>
      </w:pPr>
      <w:r>
        <w:rPr>
          <w:bCs/>
          <w:b/>
        </w:rPr>
        <w:t xml:space="preserve">Cultural &amp; Environmental Appeal:</w:t>
      </w:r>
      <w:r>
        <w:t xml:space="preserve"> </w:t>
      </w:r>
      <w:r>
        <w:t xml:space="preserve">World-class natural surroundings (beaches, mountains), vibrant multicultural communities, and Māori cultural immersion opportunities unavailable elsewhere in New Zealand.</w:t>
      </w:r>
    </w:p>
    <w:p>
      <w:pPr>
        <w:numPr>
          <w:ilvl w:val="0"/>
          <w:numId w:val="1002"/>
        </w:numPr>
        <w:pStyle w:val="Compact"/>
      </w:pPr>
      <w:r>
        <w:rPr>
          <w:bCs/>
          <w:b/>
        </w:rPr>
        <w:t xml:space="preserve">Policy Support:</w:t>
      </w:r>
      <w:r>
        <w:t xml:space="preserve"> </w:t>
      </w:r>
      <w:r>
        <w:t xml:space="preserve">Dedicated government funding through the Health Research Council of New Zealand (HRC) for research roles focused on Aotearoa-specific health challenges.</w:t>
      </w:r>
    </w:p>
    <w:p>
      <w:pPr>
        <w:numPr>
          <w:ilvl w:val="0"/>
          <w:numId w:val="1002"/>
        </w:numPr>
        <w:pStyle w:val="Compact"/>
      </w:pPr>
      <w:r>
        <w:rPr>
          <w:bCs/>
          <w:b/>
        </w:rPr>
        <w:t xml:space="preserve">Cost Competitiveness:</w:t>
      </w:r>
      <w:r>
        <w:t xml:space="preserve"> </w:t>
      </w:r>
      <w:r>
        <w:t xml:space="preserve">Lower cost of living than major global hubs while offering competitive salaries and relocation packages exceeding NZ average by 20% for specialized roles.</w:t>
      </w:r>
    </w:p>
    <w:bookmarkEnd w:id="23"/>
    <w:bookmarkStart w:id="27" w:name="core-marketing-strategies"/>
    <w:p>
      <w:pPr>
        <w:pStyle w:val="Heading2"/>
      </w:pPr>
      <w:r>
        <w:t xml:space="preserve">Core Marketing Strategies</w:t>
      </w:r>
    </w:p>
    <w:bookmarkStart w:id="24" w:name="culturally-immersive-branding-campaign"/>
    <w:p>
      <w:pPr>
        <w:pStyle w:val="Heading3"/>
      </w:pPr>
      <w:r>
        <w:t xml:space="preserve">1. Culturally Immersive Branding Campaign</w:t>
      </w:r>
    </w:p>
    <w:p>
      <w:pPr>
        <w:pStyle w:val="FirstParagraph"/>
      </w:pPr>
      <w:r>
        <w:t xml:space="preserve">A dedicated "Auckland Medical Research: Te Hauora o Aotearoa" campaign will showcase real Medical Researchers' stories, emphasizing their impact on Māori and Pacific health outcomes. Key elements include:</w:t>
      </w:r>
    </w:p>
    <w:p>
      <w:pPr>
        <w:numPr>
          <w:ilvl w:val="0"/>
          <w:numId w:val="1003"/>
        </w:numPr>
        <w:pStyle w:val="Compact"/>
      </w:pPr>
      <w:r>
        <w:t xml:space="preserve">Video series featuring researchers collaborating with iwi on projects like the Te Whatu Ora Health Service Transformation</w:t>
      </w:r>
    </w:p>
    <w:p>
      <w:pPr>
        <w:numPr>
          <w:ilvl w:val="0"/>
          <w:numId w:val="1003"/>
        </w:numPr>
        <w:pStyle w:val="Compact"/>
      </w:pPr>
      <w:r>
        <w:t xml:space="preserve">Partnership with Te Pūnaha Matatini (Māori Data Sovereignty Network) for ethical research narratives</w:t>
      </w:r>
    </w:p>
    <w:p>
      <w:pPr>
        <w:numPr>
          <w:ilvl w:val="0"/>
          <w:numId w:val="1003"/>
        </w:numPr>
        <w:pStyle w:val="Compact"/>
      </w:pPr>
      <w:r>
        <w:t xml:space="preserve">Social media targeting via LinkedIn and academic platforms using hashtags #AucklandMedicalResearch #TeRauOra</w:t>
      </w:r>
    </w:p>
    <w:bookmarkEnd w:id="24"/>
    <w:bookmarkStart w:id="25" w:name="targeted-talent-acquisition-programs"/>
    <w:p>
      <w:pPr>
        <w:pStyle w:val="Heading3"/>
      </w:pPr>
      <w:r>
        <w:t xml:space="preserve">2. Targeted Talent Acquisition Programs</w:t>
      </w:r>
    </w:p>
    <w:p>
      <w:pPr>
        <w:pStyle w:val="FirstParagraph"/>
      </w:pPr>
      <w:r>
        <w:t xml:space="preserve">Developing specialized recruitment channels:</w:t>
      </w:r>
    </w:p>
    <w:p>
      <w:pPr>
        <w:numPr>
          <w:ilvl w:val="0"/>
          <w:numId w:val="1004"/>
        </w:numPr>
        <w:pStyle w:val="Compact"/>
      </w:pPr>
      <w:r>
        <w:rPr>
          <w:bCs/>
          <w:b/>
        </w:rPr>
        <w:t xml:space="preserve">Māori/Pacific Research Fellowship Program:</w:t>
      </w:r>
      <w:r>
        <w:t xml:space="preserve"> </w:t>
      </w:r>
      <w:r>
        <w:t xml:space="preserve">Co-designed with Te Whare Wānanga o Awanuiarangi, offering guaranteed research funding and cultural mentorship for Indigenous researchers.</w:t>
      </w:r>
    </w:p>
    <w:p>
      <w:pPr>
        <w:numPr>
          <w:ilvl w:val="0"/>
          <w:numId w:val="1004"/>
        </w:numPr>
        <w:pStyle w:val="Compact"/>
      </w:pPr>
      <w:r>
        <w:rPr>
          <w:bCs/>
          <w:b/>
        </w:rPr>
        <w:t xml:space="preserve">International Mobility Hub:</w:t>
      </w:r>
      <w:r>
        <w:t xml:space="preserve"> </w:t>
      </w:r>
      <w:r>
        <w:t xml:space="preserve">Partnering with NZ Immigration to streamline work visas with dedicated support officers in London and Sydney offices.</w:t>
      </w:r>
    </w:p>
    <w:p>
      <w:pPr>
        <w:numPr>
          <w:ilvl w:val="0"/>
          <w:numId w:val="1004"/>
        </w:numPr>
        <w:pStyle w:val="Compact"/>
      </w:pPr>
      <w:r>
        <w:rPr>
          <w:bCs/>
          <w:b/>
        </w:rPr>
        <w:t xml:space="preserve">Auckland Research Ambassador Network:</w:t>
      </w:r>
      <w:r>
        <w:t xml:space="preserve"> </w:t>
      </w:r>
      <w:r>
        <w:t xml:space="preserve">Empowering current Medical Researchers to recruit peers via referral bonuses and professional development credits.</w:t>
      </w:r>
    </w:p>
    <w:bookmarkEnd w:id="25"/>
    <w:bookmarkStart w:id="26" w:name="strategic-institutional-partnerships"/>
    <w:p>
      <w:pPr>
        <w:pStyle w:val="Heading3"/>
      </w:pPr>
      <w:r>
        <w:t xml:space="preserve">3. Strategic Institutional Partnerships</w:t>
      </w:r>
    </w:p>
    <w:p>
      <w:pPr>
        <w:pStyle w:val="FirstParagraph"/>
      </w:pPr>
      <w:r>
        <w:t xml:space="preserve">Leveraging Auckland's research infrastructure through:</w:t>
      </w:r>
    </w:p>
    <w:p>
      <w:pPr>
        <w:numPr>
          <w:ilvl w:val="0"/>
          <w:numId w:val="1005"/>
        </w:numPr>
        <w:pStyle w:val="Compact"/>
      </w:pPr>
      <w:r>
        <w:t xml:space="preserve">University of Auckland joint recruitment drives with the Aotearoa Centre for Health Research Excellence (ACHeR)</w:t>
      </w:r>
    </w:p>
    <w:p>
      <w:pPr>
        <w:numPr>
          <w:ilvl w:val="0"/>
          <w:numId w:val="1005"/>
        </w:numPr>
        <w:pStyle w:val="Compact"/>
      </w:pPr>
      <w:r>
        <w:t xml:space="preserve">Collaboration with AUT University's Institute of Sport and Exercise Science for sports medicine researcher placements</w:t>
      </w:r>
    </w:p>
    <w:p>
      <w:pPr>
        <w:numPr>
          <w:ilvl w:val="0"/>
          <w:numId w:val="1005"/>
        </w:numPr>
        <w:pStyle w:val="Compact"/>
      </w:pPr>
      <w:r>
        <w:t xml:space="preserve">Engagement with New Zealand Medical Research Council to align role descriptions with national health priorities</w:t>
      </w:r>
    </w:p>
    <w:bookmarkEnd w:id="26"/>
    <w:bookmarkEnd w:id="27"/>
    <w:bookmarkStart w:id="28"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w:t>
            </w:r>
          </w:p>
        </w:tc>
        <w:tc>
          <w:tcPr/>
          <w:p>
            <w:pPr>
              <w:pStyle w:val="Compact"/>
              <w:jc w:val="left"/>
            </w:pPr>
            <w:r>
              <w:t xml:space="preserve">Campaign launch; Māori research partnership agreements; International visa pathway optimization</w:t>
            </w:r>
          </w:p>
        </w:tc>
      </w:tr>
      <w:tr>
        <w:tc>
          <w:tcPr/>
          <w:p>
            <w:pPr>
              <w:pStyle w:val="Compact"/>
              <w:jc w:val="left"/>
            </w:pPr>
            <w:r>
              <w:t xml:space="preserve">Q2</w:t>
            </w:r>
          </w:p>
        </w:tc>
        <w:tc>
          <w:tcPr/>
          <w:p>
            <w:pPr>
              <w:pStyle w:val="Compact"/>
              <w:jc w:val="left"/>
            </w:pPr>
            <w:r>
              <w:t xml:space="preserve">Ambassador network activation; First Pacific Health Research Fellowship cohort recruitment</w:t>
            </w:r>
          </w:p>
        </w:tc>
      </w:tr>
      <w:tr>
        <w:tc>
          <w:tcPr/>
          <w:p>
            <w:pPr>
              <w:pStyle w:val="Compact"/>
              <w:jc w:val="left"/>
            </w:pPr>
            <w:r>
              <w:t xml:space="preserve">Q3</w:t>
            </w:r>
          </w:p>
        </w:tc>
        <w:tc>
          <w:tcPr/>
          <w:p>
            <w:pPr>
              <w:pStyle w:val="Compact"/>
              <w:jc w:val="left"/>
            </w:pPr>
            <w:r>
              <w:t xml:space="preserve">Industry partnership development with pharmaceutical companies; Cultural integration workshop series for new hires</w:t>
            </w:r>
          </w:p>
        </w:tc>
      </w:tr>
      <w:tr>
        <w:tc>
          <w:tcPr/>
          <w:p>
            <w:pPr>
              <w:pStyle w:val="Compact"/>
              <w:jc w:val="left"/>
            </w:pPr>
            <w:r>
              <w:t xml:space="preserve">Q4</w:t>
            </w:r>
          </w:p>
        </w:tc>
        <w:tc>
          <w:tcPr/>
          <w:p>
            <w:pPr>
              <w:pStyle w:val="Compact"/>
              <w:jc w:val="left"/>
            </w:pPr>
            <w:r>
              <w:t xml:space="preserve">Evaluation against KPIs; Strategy refinement for Year 2 expansion</w:t>
            </w:r>
          </w:p>
        </w:tc>
      </w:tr>
    </w:tbl>
    <w:bookmarkEnd w:id="28"/>
    <w:bookmarkStart w:id="29" w:name="key-performance-indicators-kpis"/>
    <w:p>
      <w:pPr>
        <w:pStyle w:val="Heading2"/>
      </w:pPr>
      <w:r>
        <w:t xml:space="preserve">Key Performance Indicators (KPIs)</w:t>
      </w:r>
    </w:p>
    <w:p>
      <w:pPr>
        <w:numPr>
          <w:ilvl w:val="0"/>
          <w:numId w:val="1006"/>
        </w:numPr>
        <w:pStyle w:val="Compact"/>
      </w:pPr>
      <w:r>
        <w:rPr>
          <w:bCs/>
          <w:b/>
        </w:rPr>
        <w:t xml:space="preserve">Talent Acquisition:</w:t>
      </w:r>
      <w:r>
        <w:t xml:space="preserve"> </w:t>
      </w:r>
      <w:r>
        <w:t xml:space="preserve">50+ qualified Medical Researchers recruited within first year (30% Māori/Pacific representation)</w:t>
      </w:r>
    </w:p>
    <w:p>
      <w:pPr>
        <w:numPr>
          <w:ilvl w:val="0"/>
          <w:numId w:val="1006"/>
        </w:numPr>
        <w:pStyle w:val="Compact"/>
      </w:pPr>
      <w:r>
        <w:rPr>
          <w:bCs/>
          <w:b/>
        </w:rPr>
        <w:t xml:space="preserve">Retention Rate:</w:t>
      </w:r>
      <w:r>
        <w:t xml:space="preserve"> </w:t>
      </w:r>
      <w:r>
        <w:t xml:space="preserve">85%+ retention of new researchers after 18 months</w:t>
      </w:r>
    </w:p>
    <w:p>
      <w:pPr>
        <w:numPr>
          <w:ilvl w:val="0"/>
          <w:numId w:val="1006"/>
        </w:numPr>
        <w:pStyle w:val="Compact"/>
      </w:pPr>
      <w:r>
        <w:rPr>
          <w:bCs/>
          <w:b/>
        </w:rPr>
        <w:t xml:space="preserve">Cultural Impact:</w:t>
      </w:r>
      <w:r>
        <w:t xml:space="preserve"> </w:t>
      </w:r>
      <w:r>
        <w:t xml:space="preserve">10+ new research partnerships with iwi/health providers by Year 2</w:t>
      </w:r>
    </w:p>
    <w:p>
      <w:pPr>
        <w:numPr>
          <w:ilvl w:val="0"/>
          <w:numId w:val="1006"/>
        </w:numPr>
        <w:pStyle w:val="Compact"/>
      </w:pPr>
      <w:r>
        <w:rPr>
          <w:bCs/>
          <w:b/>
        </w:rPr>
        <w:t xml:space="preserve">Economic Contribution:</w:t>
      </w:r>
      <w:r>
        <w:t xml:space="preserve"> </w:t>
      </w:r>
      <w:r>
        <w:t xml:space="preserve">$5M+ in additional grant funding secured through researcher-led proposals by Q4 Year 2</w:t>
      </w:r>
    </w:p>
    <w:bookmarkEnd w:id="29"/>
    <w:bookmarkStart w:id="30" w:name="budget-allocation"/>
    <w:p>
      <w:pPr>
        <w:pStyle w:val="Heading2"/>
      </w:pPr>
      <w:r>
        <w:t xml:space="preserve">Budget Allocation</w:t>
      </w:r>
    </w:p>
    <w:p>
      <w:pPr>
        <w:pStyle w:val="FirstParagraph"/>
      </w:pPr>
      <w:r>
        <w:t xml:space="preserve">The total allocated budget of NZ$1.8 million will be distributed as follows:</w:t>
      </w:r>
    </w:p>
    <w:p>
      <w:pPr>
        <w:numPr>
          <w:ilvl w:val="0"/>
          <w:numId w:val="1007"/>
        </w:numPr>
        <w:pStyle w:val="Compact"/>
      </w:pPr>
      <w:r>
        <w:t xml:space="preserve">Marketing Campaigns (35%): Digital advertising, video production, cultural consultation fees</w:t>
      </w:r>
    </w:p>
    <w:p>
      <w:pPr>
        <w:numPr>
          <w:ilvl w:val="0"/>
          <w:numId w:val="1007"/>
        </w:numPr>
        <w:pStyle w:val="Compact"/>
      </w:pPr>
      <w:r>
        <w:t xml:space="preserve">Talent Acquisition Programs (40%): Recruitment agency fees, relocation packages, fellowship funding</w:t>
      </w:r>
    </w:p>
    <w:p>
      <w:pPr>
        <w:numPr>
          <w:ilvl w:val="0"/>
          <w:numId w:val="1007"/>
        </w:numPr>
        <w:pStyle w:val="Compact"/>
      </w:pPr>
      <w:r>
        <w:t xml:space="preserve">Partnership Development (20%): Institutional collaboration costs, workshop facilitation</w:t>
      </w:r>
    </w:p>
    <w:p>
      <w:pPr>
        <w:numPr>
          <w:ilvl w:val="0"/>
          <w:numId w:val="1007"/>
        </w:numPr>
        <w:pStyle w:val="Compact"/>
      </w:pPr>
      <w:r>
        <w:t xml:space="preserve">Evaluation &amp; Analytics (5%): KPI tracking systems and impact reporting</w:t>
      </w:r>
    </w:p>
    <w:bookmarkEnd w:id="30"/>
    <w:bookmarkStart w:id="31" w:name="why-auckland-the-unbeatable-advantage"/>
    <w:p>
      <w:pPr>
        <w:pStyle w:val="Heading2"/>
      </w:pPr>
      <w:r>
        <w:t xml:space="preserve">Why Auckland? The Unbeatable Advantage</w:t>
      </w:r>
    </w:p>
    <w:p>
      <w:pPr>
        <w:pStyle w:val="FirstParagraph"/>
      </w:pPr>
      <w:r>
        <w:t xml:space="preserve">Medical Researchers choosing New Zealand Auckland gain more than a job – they join a movement to transform Aotearoa's health outcomes. Unlike other global hubs, our city offers immediate cultural relevance through direct work with iwi, Pacific communities, and the Ministry of Health on priority issues like reducing Māori health disparities. The concentration of research infrastructure within Auckland allows for rapid translation from lab to clinical practice – a critical advantage for Medical Researchers driving real-world impact. This isn't just recruitment; it's building New Zealand's future health leadership in the heart of its most dynamic city.</w:t>
      </w:r>
    </w:p>
    <w:bookmarkEnd w:id="31"/>
    <w:bookmarkStart w:id="32" w:name="conclusion"/>
    <w:p>
      <w:pPr>
        <w:pStyle w:val="Heading2"/>
      </w:pPr>
      <w:r>
        <w:t xml:space="preserve">Conclusion</w:t>
      </w:r>
    </w:p>
    <w:p>
      <w:pPr>
        <w:pStyle w:val="FirstParagraph"/>
      </w:pPr>
      <w:r>
        <w:t xml:space="preserve">This Marketing Plan delivers a sustainable pathway to position Auckland as the undisputed epicenter for medical research innovation in New Zealand. By centering Māori knowledge systems, addressing genuine talent gaps, and showcasing Auckland's unique blend of environment and opportunity, we will attract Medical Researchers who view their work as integral to Aotearoa's wellbeing. Success will be measured not only by numbers but by the quality of research outcomes improving lives across New Zealand – proving that the right people in the right place create extraordinary health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Medical Researchers to New Zealand Auckland</dc:title>
  <dc:creator/>
  <dc:language>en</dc:language>
  <cp:keywords/>
  <dcterms:created xsi:type="dcterms:W3CDTF">2026-07-24T15:23:52Z</dcterms:created>
  <dcterms:modified xsi:type="dcterms:W3CDTF">2026-07-24T15:23:52Z</dcterms:modified>
</cp:coreProperties>
</file>

<file path=docProps/custom.xml><?xml version="1.0" encoding="utf-8"?>
<Properties xmlns="http://schemas.openxmlformats.org/officeDocument/2006/custom-properties" xmlns:vt="http://schemas.openxmlformats.org/officeDocument/2006/docPropsVTypes"/>
</file>