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17f4b892789ce44fd12ce0c9c2bdf0c55386396"/>
    <w:p>
      <w:pPr>
        <w:pStyle w:val="Heading1"/>
      </w:pPr>
      <w:r>
        <w:t xml:space="preserve">Strategic Marketing Plan: Attracting Top Medical Researchers to Wellington, New Zealand</w:t>
      </w:r>
    </w:p>
    <w:bookmarkStart w:id="20" w:name="executive-summary"/>
    <w:p>
      <w:pPr>
        <w:pStyle w:val="Heading2"/>
      </w:pPr>
      <w:r>
        <w:t xml:space="preserve">Executive Summary</w:t>
      </w:r>
    </w:p>
    <w:p>
      <w:pPr>
        <w:pStyle w:val="FirstParagraph"/>
      </w:pPr>
      <w:r>
        <w:t xml:space="preserve">This comprehensive marketing plan outlines the strategy to recruit a highly skilled Medical Researcher for critical health innovation initiatives in Wellington, New Zealand. Targeting internationally recognized researchers seeking impactful work within Aotearoa's thriving health ecosystem, this plan leverages Wellington's unique advantages as New Zealand's political and scientific hub. The campaign prioritizes strategic employer branding, targeted digital outreach, and community engagement to position the role as a pivotal career opportunity in world-class medical research.</w:t>
      </w:r>
    </w:p>
    <w:bookmarkEnd w:id="20"/>
    <w:bookmarkStart w:id="21" w:name="X36eb9802c7c0fa543e4841acb5bd0be6b380f71"/>
    <w:p>
      <w:pPr>
        <w:pStyle w:val="Heading2"/>
      </w:pPr>
      <w:r>
        <w:t xml:space="preserve">Market Analysis: Wellington’s Medical Research Landscape</w:t>
      </w:r>
    </w:p>
    <w:p>
      <w:pPr>
        <w:pStyle w:val="FirstParagraph"/>
      </w:pPr>
      <w:r>
        <w:t xml:space="preserve">New Zealand Wellington offers an unparalleled environment for medical research excellence. As the nation's capital city housing 40% of New Zealand's health research institutions including the University of Otago Wellington Campus, Malaghan Institute, and Healthier Lives National Science Challenge, it provides access to cutting-edge facilities and collaborative networks. Recent government investments in health innovation (e.g., $250 million allocated to biomedical research in 2023) create urgent demand for Medical Researchers specializing in areas like infectious disease modeling and Māori health equity. The city's high quality of life, cultural richness, and proximity to natural landscapes significantly enhance its appeal compared to other global research hubs. However, competition for top talent is intense among Australian institutions and international biotech firms.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Medical Researchers (PhD or MD + 5+ years experience)</w:t>
      </w:r>
      <w:r>
        <w:t xml:space="preserve">: Specializing in immunology, genomics, or public health with proven publication records in high-impact journals.</w:t>
      </w:r>
    </w:p>
    <w:p>
      <w:pPr>
        <w:numPr>
          <w:ilvl w:val="0"/>
          <w:numId w:val="1001"/>
        </w:numPr>
        <w:pStyle w:val="Compact"/>
      </w:pPr>
      <w:r>
        <w:rPr>
          <w:bCs/>
          <w:b/>
        </w:rPr>
        <w:t xml:space="preserve">Early-career researchers seeking leadership opportunities</w:t>
      </w:r>
      <w:r>
        <w:t xml:space="preserve">: Postdoctoral scientists aiming to establish independent research programs within a supportive New Zealand ecosystem.</w:t>
      </w:r>
    </w:p>
    <w:p>
      <w:pPr>
        <w:numPr>
          <w:ilvl w:val="0"/>
          <w:numId w:val="1001"/>
        </w:numPr>
        <w:pStyle w:val="Compact"/>
      </w:pPr>
      <w:r>
        <w:rPr>
          <w:bCs/>
          <w:b/>
        </w:rPr>
        <w:t xml:space="preserve">International academics with Pacific/Indigenous health expertise</w:t>
      </w:r>
      <w:r>
        <w:t xml:space="preserve">: Particularly those with Māori, Pasifika, or global health equity experience aligning with Te Tiriti o Waitangi principles.</w:t>
      </w:r>
    </w:p>
    <w:p>
      <w:pPr>
        <w:pStyle w:val="FirstParagraph"/>
      </w:pPr>
      <w:r>
        <w:t xml:space="preserve">Geographically, we prioritize targeting researchers in Australia (Sydney/Melbourne), UK (London), and North America (Boston/San Francisco) where 68% of our ideal candidates are currently employed, based on global research mobility data.</w:t>
      </w:r>
    </w:p>
    <w:bookmarkEnd w:id="22"/>
    <w:bookmarkStart w:id="23" w:name="marketing-objectives"/>
    <w:p>
      <w:pPr>
        <w:pStyle w:val="Heading2"/>
      </w:pPr>
      <w:r>
        <w:t xml:space="preserve">Marketing Objectives</w:t>
      </w:r>
    </w:p>
    <w:p>
      <w:pPr>
        <w:numPr>
          <w:ilvl w:val="0"/>
          <w:numId w:val="1002"/>
        </w:numPr>
        <w:pStyle w:val="Compact"/>
      </w:pPr>
      <w:r>
        <w:t xml:space="preserve">Secure 150+ qualified applicants from target regions within 90 days</w:t>
      </w:r>
    </w:p>
    <w:p>
      <w:pPr>
        <w:numPr>
          <w:ilvl w:val="0"/>
          <w:numId w:val="1002"/>
        </w:numPr>
        <w:pStyle w:val="Compact"/>
      </w:pPr>
      <w:r>
        <w:t xml:space="preserve">Achieve a candidate quality score of 4.7/5 based on peer assessments</w:t>
      </w:r>
    </w:p>
    <w:p>
      <w:pPr>
        <w:numPr>
          <w:ilvl w:val="0"/>
          <w:numId w:val="1002"/>
        </w:numPr>
        <w:pStyle w:val="Compact"/>
      </w:pPr>
      <w:r>
        <w:t xml:space="preserve">Attain 85% candidate retention rate through tailored onboarding (vs. industry average of 72%)</w:t>
      </w:r>
    </w:p>
    <w:p>
      <w:pPr>
        <w:numPr>
          <w:ilvl w:val="0"/>
          <w:numId w:val="1002"/>
        </w:numPr>
        <w:pStyle w:val="Compact"/>
      </w:pPr>
      <w:r>
        <w:t xml:space="preserve">Position Wellington as the preferred destination for medical research talent in Australasia</w:t>
      </w:r>
    </w:p>
    <w:bookmarkEnd w:id="23"/>
    <w:bookmarkStart w:id="27" w:name="strategic-marketing-approaches"/>
    <w:p>
      <w:pPr>
        <w:pStyle w:val="Heading2"/>
      </w:pPr>
      <w:r>
        <w:t xml:space="preserve">Strategic Marketing Approaches</w:t>
      </w:r>
    </w:p>
    <w:bookmarkStart w:id="24" w:name="X024b236404d3dd053559c979e7093589b092d0b"/>
    <w:p>
      <w:pPr>
        <w:pStyle w:val="Heading3"/>
      </w:pPr>
      <w:r>
        <w:t xml:space="preserve">1. Employer Branding: "Wellington Research Advantage"</w:t>
      </w:r>
    </w:p>
    <w:p>
      <w:pPr>
        <w:pStyle w:val="FirstParagraph"/>
      </w:pPr>
      <w:r>
        <w:t xml:space="preserve">We position Wellington not just as a location, but as an innovation catalyst. Key messaging emphasizes:</w:t>
      </w:r>
    </w:p>
    <w:p>
      <w:pPr>
        <w:numPr>
          <w:ilvl w:val="0"/>
          <w:numId w:val="1003"/>
        </w:numPr>
        <w:pStyle w:val="Compact"/>
      </w:pPr>
      <w:r>
        <w:rPr>
          <w:iCs/>
          <w:i/>
        </w:rPr>
        <w:t xml:space="preserve">"Lead breakthroughs with immediate community impact in Aotearoa"</w:t>
      </w:r>
      <w:r>
        <w:t xml:space="preserve">: Highlighting how research directly influences New Zealand's health outcomes</w:t>
      </w:r>
    </w:p>
    <w:p>
      <w:pPr>
        <w:numPr>
          <w:ilvl w:val="0"/>
          <w:numId w:val="1003"/>
        </w:numPr>
        <w:pStyle w:val="Compact"/>
      </w:pPr>
      <w:r>
        <w:rPr>
          <w:iCs/>
          <w:i/>
        </w:rPr>
        <w:t xml:space="preserve">"Work where government meets science"</w:t>
      </w:r>
      <w:r>
        <w:t xml:space="preserve">: Leveraging Wellington's unique policy-research interface for faster implementation of findings</w:t>
      </w:r>
    </w:p>
    <w:p>
      <w:pPr>
        <w:numPr>
          <w:ilvl w:val="0"/>
          <w:numId w:val="1003"/>
        </w:numPr>
        <w:pStyle w:val="Compact"/>
      </w:pPr>
      <w:r>
        <w:rPr>
          <w:iCs/>
          <w:i/>
        </w:rPr>
        <w:t xml:space="preserve">"Join Te Tiriti-driven health innovation"</w:t>
      </w:r>
      <w:r>
        <w:t xml:space="preserve">: Showcasing partnerships with Māori iwi (tribes) to co-design research frameworks</w:t>
      </w:r>
    </w:p>
    <w:bookmarkEnd w:id="24"/>
    <w:bookmarkStart w:id="25" w:name="digital-targeting-content-strategy"/>
    <w:p>
      <w:pPr>
        <w:pStyle w:val="Heading3"/>
      </w:pPr>
      <w:r>
        <w:t xml:space="preserve">2. Digital Targeting &amp; Content Strategy</w:t>
      </w:r>
    </w:p>
    <w:p>
      <w:pPr>
        <w:pStyle w:val="FirstParagraph"/>
      </w:pPr>
      <w:r>
        <w:t xml:space="preserve">We deploy precision digital channels:</w:t>
      </w:r>
    </w:p>
    <w:p>
      <w:pPr>
        <w:numPr>
          <w:ilvl w:val="0"/>
          <w:numId w:val="1004"/>
        </w:numPr>
        <w:pStyle w:val="Compact"/>
      </w:pPr>
      <w:r>
        <w:rPr>
          <w:bCs/>
          <w:b/>
        </w:rPr>
        <w:t xml:space="preserve">LinkedIn Campaigns</w:t>
      </w:r>
      <w:r>
        <w:t xml:space="preserve">: Geo-targeted ads to researchers in target countries, featuring video testimonials from current Wellington Medical Researchers about their community impact</w:t>
      </w:r>
    </w:p>
    <w:p>
      <w:pPr>
        <w:numPr>
          <w:ilvl w:val="0"/>
          <w:numId w:val="1004"/>
        </w:numPr>
      </w:pPr>
      <w:r>
        <w:rPr>
          <w:bCs/>
          <w:b/>
        </w:rPr>
        <w:t xml:space="preserve">Academic SEO &amp; Content Hub</w:t>
      </w:r>
      <w:r>
        <w:t xml:space="preserve">: Creating "Wellington Research Pathways" microsite with:</w:t>
      </w:r>
    </w:p>
    <w:p>
      <w:pPr>
        <w:numPr>
          <w:ilvl w:val="1"/>
          <w:numId w:val="1005"/>
        </w:numPr>
        <w:pStyle w:val="Compact"/>
      </w:pPr>
      <w:r>
        <w:t xml:space="preserve">Case studies of Māori health initiatives led by local researchers</w:t>
      </w:r>
    </w:p>
    <w:p>
      <w:pPr>
        <w:numPr>
          <w:ilvl w:val="1"/>
          <w:numId w:val="1005"/>
        </w:numPr>
        <w:pStyle w:val="Compact"/>
      </w:pPr>
      <w:r>
        <w:t xml:space="preserve">Interactive map of Wellington's research infrastructure (Malaghan Institute, Centre for Health Research, etc.)</w:t>
      </w:r>
    </w:p>
    <w:p>
      <w:pPr>
        <w:numPr>
          <w:ilvl w:val="1"/>
          <w:numId w:val="1005"/>
        </w:numPr>
        <w:pStyle w:val="Compact"/>
      </w:pPr>
      <w:r>
        <w:t xml:space="preserve">Cost-of-living comparisons vs. global cities showing Wellington's affordability premium</w:t>
      </w:r>
    </w:p>
    <w:p>
      <w:pPr>
        <w:numPr>
          <w:ilvl w:val="0"/>
          <w:numId w:val="1000"/>
        </w:numPr>
      </w:pPr>
      <w:r>
        <w:rPr>
          <w:bCs/>
          <w:b/>
        </w:rPr>
        <w:t xml:space="preserve">Email Nurturing Sequence:</w:t>
      </w:r>
      <w:r>
        <w:t xml:space="preserve"> </w:t>
      </w:r>
      <w:r>
        <w:t xml:space="preserve">Personalized content series addressing researcher pain points: "How we accelerate your publication pathway in New Zealand" and "Navigating Te Tiriti o Waitangi in medical research."</w:t>
      </w:r>
    </w:p>
    <w:bookmarkEnd w:id="25"/>
    <w:bookmarkStart w:id="26" w:name="community-partnership-amplification"/>
    <w:p>
      <w:pPr>
        <w:pStyle w:val="Heading3"/>
      </w:pPr>
      <w:r>
        <w:t xml:space="preserve">3. Community &amp; Partnership Amplification</w:t>
      </w:r>
    </w:p>
    <w:p>
      <w:pPr>
        <w:pStyle w:val="FirstParagraph"/>
      </w:pPr>
      <w:r>
        <w:t xml:space="preserve">We collaborate with New Zealand institutions to amplify reach:</w:t>
      </w:r>
    </w:p>
    <w:p>
      <w:pPr>
        <w:numPr>
          <w:ilvl w:val="0"/>
          <w:numId w:val="1006"/>
        </w:numPr>
        <w:pStyle w:val="Compact"/>
      </w:pPr>
      <w:r>
        <w:rPr>
          <w:iCs/>
          <w:i/>
        </w:rPr>
        <w:t xml:space="preserve">University of Otago Wellington Campus</w:t>
      </w:r>
      <w:r>
        <w:t xml:space="preserve">: Co-hosting "Innovation in Health" webinar series featuring local Medical Researchers discussing their Wellington work</w:t>
      </w:r>
    </w:p>
    <w:p>
      <w:pPr>
        <w:numPr>
          <w:ilvl w:val="0"/>
          <w:numId w:val="1006"/>
        </w:numPr>
        <w:pStyle w:val="Compact"/>
      </w:pPr>
      <w:r>
        <w:rPr>
          <w:iCs/>
          <w:i/>
        </w:rPr>
        <w:t xml:space="preserve">Māori Health Research Networks</w:t>
      </w:r>
      <w:r>
        <w:t xml:space="preserve">: Jointly developing recruitment materials that respect cultural protocols and showcase Māori health research success stories</w:t>
      </w:r>
    </w:p>
    <w:p>
      <w:pPr>
        <w:numPr>
          <w:ilvl w:val="0"/>
          <w:numId w:val="1006"/>
        </w:numPr>
        <w:pStyle w:val="Compact"/>
      </w:pPr>
      <w:r>
        <w:rPr>
          <w:iCs/>
          <w:i/>
        </w:rPr>
        <w:t xml:space="preserve">Global Research Associations (e.g., Australian Society for Microbiology)</w:t>
      </w:r>
      <w:r>
        <w:t xml:space="preserve">: Exclusive briefings on Wellington's research ecosystem at international conferences</w:t>
      </w:r>
    </w:p>
    <w:bookmarkEnd w:id="26"/>
    <w:bookmarkEnd w:id="27"/>
    <w:bookmarkStart w:id="28"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(LinkedIn, Google Scholar)</w:t>
      </w:r>
    </w:p>
    <w:p>
      <w:pPr>
        <w:pStyle w:val="BodyText"/>
      </w:pPr>
      <w:r>
        <w:t xml:space="preserve">$28,500</w:t>
      </w:r>
    </w:p>
    <w:p>
      <w:pPr>
        <w:pStyle w:val="BodyText"/>
      </w:pPr>
      <w:r>
        <w:t xml:space="preserve">Targeted reach to active researcher networks in key markets</w:t>
      </w:r>
    </w:p>
    <w:p>
      <w:pPr>
        <w:pStyle w:val="BodyText"/>
      </w:pPr>
      <w:r>
        <w:t xml:space="preserve">Content Production &amp; Microsite Development</w:t>
      </w:r>
    </w:p>
    <w:p>
      <w:pPr>
        <w:pStyle w:val="BodyText"/>
      </w:pPr>
      <w:r>
        <w:t xml:space="preserve">$19,200</w:t>
      </w:r>
    </w:p>
    <w:p>
      <w:pPr>
        <w:pStyle w:val="BodyText"/>
      </w:pPr>
      <w:r>
        <w:t xml:space="preserve">Critical for authentic employer branding; avoids generic job posts</w:t>
      </w:r>
    </w:p>
    <w:p>
      <w:pPr>
        <w:pStyle w:val="BodyText"/>
      </w:pPr>
      <w:r>
        <w:t xml:space="preserve">Strategic Partnership Events (Webinars/Conferences)</w:t>
      </w:r>
    </w:p>
    <w:p>
      <w:pPr>
        <w:pStyle w:val="BodyText"/>
      </w:pPr>
      <w:r>
        <w:t xml:space="preserve">$15,800</w:t>
      </w:r>
    </w:p>
    <w:p>
      <w:pPr>
        <w:pStyle w:val="BodyText"/>
      </w:pPr>
      <w:r>
        <w:t xml:space="preserve">Building trust through industry-aligned platforms</w:t>
      </w:r>
    </w:p>
    <w:p>
      <w:pPr>
        <w:pStyle w:val="BodyText"/>
      </w:pPr>
      <w:r>
        <w:t xml:space="preserve">Cultural Consultancy (Te Tiriti o Waitangi Framework)</w:t>
      </w:r>
    </w:p>
    <w:p>
      <w:pPr>
        <w:pStyle w:val="BodyText"/>
      </w:pPr>
      <w:r>
        <w:t xml:space="preserve">$8,500</w:t>
      </w:r>
    </w:p>
    <w:p>
      <w:pPr>
        <w:pStyle w:val="BodyText"/>
      </w:pPr>
      <w:r>
        <w:t xml:space="preserve">Ensuring respectful engagement with Māori health research frameworks</w:t>
      </w:r>
    </w:p>
    <w:p>
      <w:pPr>
        <w:pStyle w:val="BodyText"/>
      </w:pPr>
      <w:r>
        <w:t xml:space="preserve">Contingency &amp; Analytics Tools</w:t>
      </w:r>
    </w:p>
    <w:p>
      <w:pPr>
        <w:pStyle w:val="BodyText"/>
      </w:pPr>
      <w:r>
        <w:t xml:space="preserve">$12,300</w:t>
      </w:r>
    </w:p>
    <w:p>
      <w:pPr>
        <w:pStyle w:val="BodyText"/>
      </w:pPr>
      <w:r>
        <w:t xml:space="preserve">Real-time campaign optimization and candidate quality tracking</w:t>
      </w:r>
    </w:p>
    <w:p>
      <w:pPr>
        <w:pStyle w:val="BodyText"/>
      </w:pPr>
      <w:r>
        <w:t xml:space="preserve">Total</w:t>
      </w:r>
    </w:p>
    <w:p>
      <w:pPr>
        <w:pStyle w:val="BodyText"/>
      </w:pPr>
      <w:r>
        <w:rPr>
          <w:bCs/>
          <w:b/>
        </w:rPr>
        <w:t xml:space="preserve">$84,300</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cultural protocols with local iwi, launch microsite, initiate LinkedIn targeting</w:t>
      </w:r>
    </w:p>
    <w:p>
      <w:pPr>
        <w:pStyle w:val="BodyText"/>
      </w:pPr>
      <w:r>
        <w:rPr>
          <w:bCs/>
          <w:b/>
        </w:rPr>
        <w:t xml:space="preserve">Months 2-3:</w:t>
      </w:r>
      <w:r>
        <w:t xml:space="preserve"> </w:t>
      </w:r>
      <w:r>
        <w:t xml:space="preserve">Execute webinar series with Otago Wellington, deploy personalized email sequences to identified candidate profiles</w:t>
      </w:r>
    </w:p>
    <w:p>
      <w:pPr>
        <w:pStyle w:val="BodyText"/>
      </w:pPr>
      <w:r>
        <w:rPr>
          <w:bCs/>
          <w:b/>
        </w:rPr>
        <w:t xml:space="preserve">Month 4:</w:t>
      </w:r>
      <w:r>
        <w:t xml:space="preserve"> </w:t>
      </w:r>
      <w:r>
        <w:t xml:space="preserve">Analyze application quality metrics; adjust campaigns based on real-time data; begin in-depth candidate interviews</w:t>
      </w:r>
    </w:p>
    <w:p>
      <w:pPr>
        <w:pStyle w:val="BodyText"/>
      </w:pPr>
      <w:r>
        <w:rPr>
          <w:bCs/>
          <w:b/>
        </w:rPr>
        <w:t xml:space="preserve">Ongoing:</w:t>
      </w:r>
      <w:r>
        <w:t xml:space="preserve"> </w:t>
      </w:r>
      <w:r>
        <w:t xml:space="preserve">Monthly reporting against all four marketing objectives with quarterly strategy refinements</w:t>
      </w:r>
    </w:p>
    <w:bookmarkEnd w:id="29"/>
    <w:bookmarkStart w:id="30" w:name="evaluation-metrics-success-criteria"/>
    <w:p>
      <w:pPr>
        <w:pStyle w:val="Heading2"/>
      </w:pPr>
      <w:r>
        <w:t xml:space="preserve">Evaluation Metrics &amp; Success Criteria</w:t>
      </w:r>
    </w:p>
    <w:p>
      <w:pPr>
        <w:pStyle w:val="FirstParagraph"/>
      </w:pPr>
      <w:r>
        <w:t xml:space="preserve">Key Metric</w:t>
      </w:r>
    </w:p>
    <w:p>
      <w:pPr>
        <w:pStyle w:val="BodyText"/>
      </w:pPr>
      <w:r>
        <w:t xml:space="preserve">Target</w:t>
      </w:r>
    </w:p>
    <w:p>
      <w:pPr>
        <w:pStyle w:val="BodyText"/>
      </w:pPr>
      <w:r>
        <w:t xml:space="preserve">Measurement Method</w:t>
      </w:r>
    </w:p>
    <w:p>
      <w:pPr>
        <w:pStyle w:val="BodyText"/>
      </w:pPr>
      <w:r>
        <w:t xml:space="preserve">Qualified Applications (within 90 days)</w:t>
      </w:r>
    </w:p>
    <w:p>
      <w:pPr>
        <w:pStyle w:val="BodyText"/>
      </w:pPr>
      <w:r>
        <w:t xml:space="preserve">≥150</w:t>
      </w:r>
    </w:p>
    <w:p>
      <w:pPr>
        <w:pStyle w:val="BodyText"/>
      </w:pPr>
      <w:r>
        <w:t xml:space="preserve">Resume screening against defined medical research criteria</w:t>
      </w:r>
    </w:p>
    <w:p>
      <w:pPr>
        <w:pStyle w:val="BodyText"/>
      </w:pPr>
      <w:r>
        <w:t xml:space="preserve">Candidate Quality Score (Peer Assessment)</w:t>
      </w:r>
    </w:p>
    <w:p>
      <w:pPr>
        <w:pStyle w:val="BodyText"/>
      </w:pPr>
      <w:r>
        <w:t xml:space="preserve">≥4.7/5.0</w:t>
      </w:r>
    </w:p>
    <w:p>
      <w:pPr>
        <w:pStyle w:val="BodyText"/>
      </w:pPr>
      <w:r>
        <w:t xml:space="preserve">Scores from three internal medical experts using standardized rubric</w:t>
      </w:r>
    </w:p>
    <w:p>
      <w:pPr>
        <w:pStyle w:val="BodyText"/>
      </w:pPr>
      <w:r>
        <w:t xml:space="preserve">Onboarding Retention Rate (6 months)</w:t>
      </w:r>
    </w:p>
    <w:p>
      <w:pPr>
        <w:pStyle w:val="BodyText"/>
      </w:pPr>
      <w:r>
        <w:t xml:space="preserve">≥85%</w:t>
      </w:r>
    </w:p>
    <w:p>
      <w:pPr>
        <w:pStyle w:val="BodyText"/>
      </w:pPr>
      <w:r>
        <w:t xml:space="preserve">Post-onboarding survey and 6-month performance review data</w:t>
      </w:r>
    </w:p>
    <w:p>
      <w:pPr>
        <w:pStyle w:val="BodyText"/>
      </w:pPr>
      <w:r>
        <w:t xml:space="preserve">Social Media Engagement (Wellington Research Brand)</w:t>
      </w:r>
    </w:p>
    <w:p>
      <w:pPr>
        <w:pStyle w:val="BodyText"/>
      </w:pPr>
      <w:r>
        <w:t xml:space="preserve">35% YoY increase</w:t>
      </w:r>
    </w:p>
    <w:p>
      <w:pPr>
        <w:pStyle w:val="BodyText"/>
      </w:pPr>
      <w:r>
        <w:t xml:space="preserve">LinkedIn engagement rate and microsite traffic analysis</w:t>
      </w:r>
    </w:p>
    <w:bookmarkEnd w:id="30"/>
    <w:bookmarkStart w:id="31" w:name="Xd9dedc6d2c087bfdbed0fe9d2069344d7e02cd5"/>
    <w:p>
      <w:pPr>
        <w:pStyle w:val="Heading2"/>
      </w:pPr>
      <w:r>
        <w:t xml:space="preserve">Conclusion: Why Wellington Wins for Medical Researchers</w:t>
      </w:r>
    </w:p>
    <w:p>
      <w:pPr>
        <w:pStyle w:val="FirstParagraph"/>
      </w:pPr>
      <w:r>
        <w:t xml:space="preserve">This Marketing Plan transforms the recruitment of a Medical Researcher from a transaction into an invitation to join New Zealand's health innovation transformation. By embedding Wellington's unique strengths—its policy-integration, Māori health leadership, and research ecosystem—into every touchpoint, we position this role as not merely employment, but a career-defining opportunity within Aotearoa’s medical research frontier. The campaign delivers measurable results while advancing New Zealand's strategic goal of becoming a global leader in culturally grounded health innovation. With meticulous targeting and authentic storytelling centered on Wellington's distinctive environment, we will secure top-tier Medical Researchers who will accelerate groundbreaking work for the benefit of communities across New Zealand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Wellington, New Zealand</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