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Elite</w:t>
      </w:r>
      <w:r>
        <w:t xml:space="preserve"> </w:t>
      </w:r>
      <w:r>
        <w:t xml:space="preserve">Medical</w:t>
      </w:r>
      <w:r>
        <w:t xml:space="preserve"> </w:t>
      </w:r>
      <w:r>
        <w:t xml:space="preserve">Researchers</w:t>
      </w:r>
      <w:r>
        <w:t xml:space="preserve"> </w:t>
      </w:r>
      <w:r>
        <w:t xml:space="preserve">to</w:t>
      </w:r>
      <w:r>
        <w:t xml:space="preserve"> </w:t>
      </w:r>
      <w:r>
        <w:t xml:space="preserve">Lima,</w:t>
      </w:r>
      <w:r>
        <w:t xml:space="preserve"> </w:t>
      </w:r>
      <w:r>
        <w:t xml:space="preserve">Peru</w:t>
      </w:r>
    </w:p>
    <w:bookmarkStart w:id="30" w:name="X2eae19dad309a8b9de53e20c59e3b8b4a553eb5"/>
    <w:p>
      <w:pPr>
        <w:pStyle w:val="Heading1"/>
      </w:pPr>
      <w:r>
        <w:t xml:space="preserve">Strategic Marketing Plan for Recruiting Top-Tier Medical Researchers in Lima, Peru</w:t>
      </w:r>
    </w:p>
    <w:bookmarkStart w:id="20" w:name="executive-summary"/>
    <w:p>
      <w:pPr>
        <w:pStyle w:val="Heading2"/>
      </w:pPr>
      <w:r>
        <w:t xml:space="preserve">Executive Summary</w:t>
      </w:r>
    </w:p>
    <w:p>
      <w:pPr>
        <w:pStyle w:val="FirstParagraph"/>
      </w:pPr>
      <w:r>
        <w:t xml:space="preserve">This comprehensive Marketing Plan outlines a targeted strategy to position Lima, Peru as the premier destination for elite Medical Researchers seeking impactful careers. With Peru's healthcare sector experiencing unprecedented growth—driven by government investments in biomedical innovation and rising demand for locally relevant research—the need to attract specialized talent has become critical. This plan leverages Lima's unique advantages: its status as South America's medical hub, access to diverse patient populations, and supportive regulatory environment under the</w:t>
      </w:r>
      <w:r>
        <w:t xml:space="preserve"> </w:t>
      </w:r>
      <w:r>
        <w:rPr>
          <w:iCs/>
          <w:i/>
        </w:rPr>
        <w:t xml:space="preserve">Sistema Nacional de Salud</w:t>
      </w:r>
      <w:r>
        <w:t xml:space="preserve">. Our goal is to secure 15+ high-caliber Medical Researchers within 18 months through hyper-localized recruitment campaigns centered exclusively on</w:t>
      </w:r>
      <w:r>
        <w:t xml:space="preserve"> </w:t>
      </w:r>
      <w:r>
        <w:rPr>
          <w:bCs/>
          <w:b/>
        </w:rPr>
        <w:t xml:space="preserve">Peru Lima</w:t>
      </w:r>
      <w:r>
        <w:t xml:space="preserve">.</w:t>
      </w:r>
    </w:p>
    <w:bookmarkEnd w:id="20"/>
    <w:bookmarkStart w:id="21" w:name="market-analysis-the-lima-opportunity"/>
    <w:p>
      <w:pPr>
        <w:pStyle w:val="Heading2"/>
      </w:pPr>
      <w:r>
        <w:t xml:space="preserve">Market Analysis: The Lima Opportunity</w:t>
      </w:r>
    </w:p>
    <w:p>
      <w:pPr>
        <w:pStyle w:val="FirstParagraph"/>
      </w:pPr>
      <w:r>
        <w:t xml:space="preserve">Lima presents a transformative landscape for Medical Research. As the capital of Peru and home to 30% of the nation's population, it houses 70% of Peru's research infrastructure—including the National Institute of Health (INS), Universidad Peruana Cayetano Heredia (UPCH), and leading private hospitals like Clinica San Juan de Dios. Current gaps include:</w:t>
      </w:r>
    </w:p>
    <w:p>
      <w:pPr>
        <w:numPr>
          <w:ilvl w:val="0"/>
          <w:numId w:val="1001"/>
        </w:numPr>
        <w:pStyle w:val="Compact"/>
      </w:pPr>
      <w:r>
        <w:t xml:space="preserve">Only 12% of clinical trials in Peru occur in Lima despite its demographic significance.</w:t>
      </w:r>
    </w:p>
    <w:p>
      <w:pPr>
        <w:numPr>
          <w:ilvl w:val="0"/>
          <w:numId w:val="1001"/>
        </w:numPr>
        <w:pStyle w:val="Compact"/>
      </w:pPr>
      <w:r>
        <w:t xml:space="preserve">45% of Peruvian medical researchers emigrate annually due to inadequate funding and recognition (MINSA, 2023).</w:t>
      </w:r>
    </w:p>
    <w:p>
      <w:pPr>
        <w:numPr>
          <w:ilvl w:val="0"/>
          <w:numId w:val="1001"/>
        </w:numPr>
        <w:pStyle w:val="Compact"/>
      </w:pPr>
      <w:r>
        <w:t xml:space="preserve">The National Health Strategy 2030 prioritizes local R&amp;D to combat endemic diseases like dengue, tuberculosis, and tropical infections prevalent in Lima's urban populations.</w:t>
      </w:r>
    </w:p>
    <w:p>
      <w:pPr>
        <w:pStyle w:val="FirstParagraph"/>
      </w:pPr>
      <w:r>
        <w:t xml:space="preserve">This talent shortage directly impedes Peru's ability to develop region-specific solutions. The market is ripe for a strategic initiative that frames Lima not just as a location, but as the</w:t>
      </w:r>
      <w:r>
        <w:t xml:space="preserve"> </w:t>
      </w:r>
      <w:r>
        <w:rPr>
          <w:iCs/>
          <w:i/>
        </w:rPr>
        <w:t xml:space="preserve">essential epicenter</w:t>
      </w:r>
      <w:r>
        <w:t xml:space="preserve"> </w:t>
      </w:r>
      <w:r>
        <w:t xml:space="preserve">for medical innovation in Andean nations. Our plan addresses this by positioning the Medical Researcher role within Lima’s unique ecosystem.</w:t>
      </w:r>
    </w:p>
    <w:bookmarkEnd w:id="21"/>
    <w:bookmarkStart w:id="22" w:name="Xf024805ec6f3bcf1458fb1d6a67f5672604a981"/>
    <w:p>
      <w:pPr>
        <w:pStyle w:val="Heading2"/>
      </w:pPr>
      <w:r>
        <w:t xml:space="preserve">Target Audience: The Ideal Medical Researcher Profile</w:t>
      </w:r>
    </w:p>
    <w:p>
      <w:pPr>
        <w:pStyle w:val="FirstParagraph"/>
      </w:pPr>
      <w:r>
        <w:t xml:space="preserve">We target early-to-mid-career Medical Researchers (PhD or MD with 3-8 years’ experience) seeking:</w:t>
      </w:r>
    </w:p>
    <w:p>
      <w:pPr>
        <w:numPr>
          <w:ilvl w:val="0"/>
          <w:numId w:val="1002"/>
        </w:numPr>
        <w:pStyle w:val="Compact"/>
      </w:pPr>
      <w:r>
        <w:t xml:space="preserve">Opportunities to lead studies addressing diseases with high burden in Peru (e.g., leptospirosis, hepatitis E).</w:t>
      </w:r>
    </w:p>
    <w:p>
      <w:pPr>
        <w:numPr>
          <w:ilvl w:val="0"/>
          <w:numId w:val="1002"/>
        </w:numPr>
        <w:pStyle w:val="Compact"/>
      </w:pPr>
      <w:r>
        <w:t xml:space="preserve">Access to Lima’s diverse clinical settings—from urban hospitals serving 20M+ residents to jungle field sites within 3 hours.</w:t>
      </w:r>
    </w:p>
    <w:p>
      <w:pPr>
        <w:numPr>
          <w:ilvl w:val="0"/>
          <w:numId w:val="1002"/>
        </w:numPr>
        <w:pStyle w:val="Compact"/>
      </w:pPr>
      <w:r>
        <w:t xml:space="preserve">A career path aligned with Peru’s commitment to localizing research outcomes (e.g., the new Biomedical Innovation Hub at UPCH).</w:t>
      </w:r>
    </w:p>
    <w:p>
      <w:pPr>
        <w:pStyle w:val="FirstParagraph"/>
      </w:pPr>
      <w:r>
        <w:t xml:space="preserve">Key motivators include professional growth, cultural connection (for Peruvian diaspora researchers), and impact potential. We will prioritize candidates with experience in tropical medicine or Latin American health systems—ensuring relevance to</w:t>
      </w:r>
      <w:r>
        <w:t xml:space="preserve"> </w:t>
      </w:r>
      <w:r>
        <w:rPr>
          <w:bCs/>
          <w:b/>
        </w:rPr>
        <w:t xml:space="preserve">Peru Lima</w:t>
      </w:r>
      <w:r>
        <w:t xml:space="preserve">'s specific needs.</w:t>
      </w:r>
    </w:p>
    <w:bookmarkEnd w:id="22"/>
    <w:bookmarkStart w:id="23" w:name="X5b15f4ed7d7609f71f9800451b50687e06d4d48"/>
    <w:p>
      <w:pPr>
        <w:pStyle w:val="Heading2"/>
      </w:pPr>
      <w:r>
        <w:t xml:space="preserve">Core Marketing Strategy: "Lima, Where Research Resonates"</w:t>
      </w:r>
    </w:p>
    <w:p>
      <w:pPr>
        <w:pStyle w:val="FirstParagraph"/>
      </w:pPr>
      <w:r>
        <w:t xml:space="preserve">This campaign transcends traditional recruitment. It positions Lima as a dynamic research environment where Medical Researchers can drive tangible change in communities they understand. The strategy rests on three pillars:</w:t>
      </w:r>
    </w:p>
    <w:p>
      <w:pPr>
        <w:numPr>
          <w:ilvl w:val="0"/>
          <w:numId w:val="1003"/>
        </w:numPr>
        <w:pStyle w:val="Compact"/>
      </w:pPr>
      <w:r>
        <w:rPr>
          <w:bCs/>
          <w:b/>
        </w:rPr>
        <w:t xml:space="preserve">Localized Value Proposition:</w:t>
      </w:r>
      <w:r>
        <w:t xml:space="preserve"> </w:t>
      </w:r>
      <w:r>
        <w:t xml:space="preserve">Highlighting Lima's unique assets: access to 3M+ patients for clinical studies, tax incentives for R&amp;D under Peru’s Law 29514, and partnerships with MINSA for expedited ethical approvals.</w:t>
      </w:r>
    </w:p>
    <w:p>
      <w:pPr>
        <w:numPr>
          <w:ilvl w:val="0"/>
          <w:numId w:val="1003"/>
        </w:numPr>
        <w:pStyle w:val="Compact"/>
      </w:pPr>
      <w:r>
        <w:rPr>
          <w:bCs/>
          <w:b/>
        </w:rPr>
        <w:t xml:space="preserve">Cultural Connection:</w:t>
      </w:r>
      <w:r>
        <w:t xml:space="preserve"> </w:t>
      </w:r>
      <w:r>
        <w:t xml:space="preserve">Emphasizing how Medical Researchers in Lima directly improve local health outcomes—e.g., "Your study on malaria resistance could protect 100,000 Lima residents this year."</w:t>
      </w:r>
    </w:p>
    <w:p>
      <w:pPr>
        <w:numPr>
          <w:ilvl w:val="0"/>
          <w:numId w:val="1003"/>
        </w:numPr>
        <w:pStyle w:val="Compact"/>
      </w:pPr>
      <w:r>
        <w:rPr>
          <w:bCs/>
          <w:b/>
        </w:rPr>
        <w:t xml:space="preserve">Professional Ecosystem:</w:t>
      </w:r>
      <w:r>
        <w:t xml:space="preserve"> </w:t>
      </w:r>
      <w:r>
        <w:t xml:space="preserve">Showcasing mentorship networks with Peru’s top institutions (e.g., UPCH’s Center for Global Health) and career pathways to leadership roles in Peru’s evolving healthcare system.</w:t>
      </w:r>
    </w:p>
    <w:bookmarkEnd w:id="23"/>
    <w:bookmarkStart w:id="27" w:name="X3d5f2e843d90434ae0b0e0a20209b73175def63"/>
    <w:p>
      <w:pPr>
        <w:pStyle w:val="Heading2"/>
      </w:pPr>
      <w:r>
        <w:t xml:space="preserve">Tactical Implementation: Hyper-Localized Campaigns</w:t>
      </w:r>
    </w:p>
    <w:p>
      <w:pPr>
        <w:pStyle w:val="FirstParagraph"/>
      </w:pPr>
      <w:r>
        <w:t xml:space="preserve">We deploy targeted channels specific to the Lima research community:</w:t>
      </w:r>
    </w:p>
    <w:bookmarkStart w:id="24" w:name="digital-campaigns-with-peruvian-context"/>
    <w:p>
      <w:pPr>
        <w:pStyle w:val="Heading3"/>
      </w:pPr>
      <w:r>
        <w:t xml:space="preserve">1. Digital Campaigns with Peruvian Context</w:t>
      </w:r>
    </w:p>
    <w:p>
      <w:pPr>
        <w:numPr>
          <w:ilvl w:val="0"/>
          <w:numId w:val="1004"/>
        </w:numPr>
        <w:pStyle w:val="Compact"/>
      </w:pPr>
      <w:r>
        <w:rPr>
          <w:bCs/>
          <w:b/>
        </w:rPr>
        <w:t xml:space="preserve">Lima-Focused Social Media:</w:t>
      </w:r>
      <w:r>
        <w:t xml:space="preserve"> </w:t>
      </w:r>
      <w:r>
        <w:t xml:space="preserve">LinkedIn and Instagram ads targeting researchers in Latin America, using content like "5 Ways Lima’s Urban Diversity Accelerates Your Medical Research Career" (featuring real case studies from Clinica Los Olivos).</w:t>
      </w:r>
    </w:p>
    <w:p>
      <w:pPr>
        <w:numPr>
          <w:ilvl w:val="0"/>
          <w:numId w:val="1004"/>
        </w:numPr>
        <w:pStyle w:val="Compact"/>
      </w:pPr>
      <w:r>
        <w:rPr>
          <w:bCs/>
          <w:b/>
        </w:rPr>
        <w:t xml:space="preserve">Localized Webinar Series:</w:t>
      </w:r>
      <w:r>
        <w:t xml:space="preserve"> </w:t>
      </w:r>
      <w:r>
        <w:t xml:space="preserve">"Research in Lima: Navigating Peru’s Health System" hosted by UPCH researchers, streamed in Spanish with English subtitles for global audiences.</w:t>
      </w:r>
    </w:p>
    <w:bookmarkEnd w:id="24"/>
    <w:bookmarkStart w:id="25" w:name="strategic-partnerships"/>
    <w:p>
      <w:pPr>
        <w:pStyle w:val="Heading3"/>
      </w:pPr>
      <w:r>
        <w:t xml:space="preserve">2. Strategic Partnerships</w:t>
      </w:r>
    </w:p>
    <w:p>
      <w:pPr>
        <w:numPr>
          <w:ilvl w:val="0"/>
          <w:numId w:val="1005"/>
        </w:numPr>
        <w:pStyle w:val="Compact"/>
      </w:pPr>
      <w:r>
        <w:rPr>
          <w:bCs/>
          <w:b/>
        </w:rPr>
        <w:t xml:space="preserve">Institutional Alliances:</w:t>
      </w:r>
      <w:r>
        <w:t xml:space="preserve"> </w:t>
      </w:r>
      <w:r>
        <w:t xml:space="preserve">Co-branded recruitment drives with MINSA, the Peruvian Association of Medical Research (APIM), and Lima’s biomedical startups (e.g., BioLima Innovations).</w:t>
      </w:r>
    </w:p>
    <w:p>
      <w:pPr>
        <w:numPr>
          <w:ilvl w:val="0"/>
          <w:numId w:val="1005"/>
        </w:numPr>
        <w:pStyle w:val="Compact"/>
      </w:pPr>
      <w:r>
        <w:rPr>
          <w:bCs/>
          <w:b/>
        </w:rPr>
        <w:t xml:space="preserve">Diaspora Engagement:</w:t>
      </w:r>
      <w:r>
        <w:t xml:space="preserve"> </w:t>
      </w:r>
      <w:r>
        <w:t xml:space="preserve">Targeted outreach to Peruvian researchers abroad via the Ministry of Foreign Affairs’ "Return to Lima" initiative, emphasizing tax benefits and family-friendly infrastructure.</w:t>
      </w:r>
    </w:p>
    <w:bookmarkEnd w:id="25"/>
    <w:bookmarkStart w:id="26" w:name="physical-presence-in-lima"/>
    <w:p>
      <w:pPr>
        <w:pStyle w:val="Heading3"/>
      </w:pPr>
      <w:r>
        <w:t xml:space="preserve">3. Physical Presence in Lima</w:t>
      </w:r>
    </w:p>
    <w:p>
      <w:pPr>
        <w:numPr>
          <w:ilvl w:val="0"/>
          <w:numId w:val="1006"/>
        </w:numPr>
        <w:pStyle w:val="Compact"/>
      </w:pPr>
      <w:r>
        <w:rPr>
          <w:bCs/>
          <w:b/>
        </w:rPr>
        <w:t xml:space="preserve">Lima Research Summit:</w:t>
      </w:r>
      <w:r>
        <w:t xml:space="preserve"> </w:t>
      </w:r>
      <w:r>
        <w:t xml:space="preserve">Hosting an annual event at the National Library of Peru (UNESCO site), featuring keynote speakers from WHO Americas and local health leaders discussing Lima’s research opportunities.</w:t>
      </w:r>
    </w:p>
    <w:p>
      <w:pPr>
        <w:numPr>
          <w:ilvl w:val="0"/>
          <w:numId w:val="1006"/>
        </w:numPr>
        <w:pStyle w:val="Compact"/>
      </w:pPr>
      <w:r>
        <w:rPr>
          <w:bCs/>
          <w:b/>
        </w:rPr>
        <w:t xml:space="preserve">University Collaborations:</w:t>
      </w:r>
      <w:r>
        <w:t xml:space="preserve"> </w:t>
      </w:r>
      <w:r>
        <w:t xml:space="preserve">Workshops at UPCH, Universidad Nacional Mayor de San Marcos, and Universidad de Lima to showcase Medical Researcher roles in real-world projects (e.g., vaccine trials for dengue).</w:t>
      </w:r>
    </w:p>
    <w:bookmarkEnd w:id="26"/>
    <w:bookmarkEnd w:id="27"/>
    <w:bookmarkStart w:id="28" w:name="budget-allocation-kpis"/>
    <w:p>
      <w:pPr>
        <w:pStyle w:val="Heading2"/>
      </w:pPr>
      <w:r>
        <w:t xml:space="preserve">Budget Allocation &amp; KPIs</w:t>
      </w:r>
    </w:p>
    <w:p>
      <w:pPr>
        <w:pStyle w:val="FirstParagraph"/>
      </w:pPr>
      <w:r>
        <w:t xml:space="preserve">The $85,000 budget is allocated as follows:</w:t>
      </w:r>
    </w:p>
    <w:p>
      <w:pPr>
        <w:numPr>
          <w:ilvl w:val="0"/>
          <w:numId w:val="1007"/>
        </w:numPr>
        <w:pStyle w:val="Compact"/>
      </w:pPr>
      <w:r>
        <w:t xml:space="preserve">45% Digital Campaigns (targeting 12,000+ researchers via geo-fenced Lima ads)</w:t>
      </w:r>
    </w:p>
    <w:p>
      <w:pPr>
        <w:numPr>
          <w:ilvl w:val="0"/>
          <w:numId w:val="1007"/>
        </w:numPr>
        <w:pStyle w:val="Compact"/>
      </w:pPr>
      <w:r>
        <w:t xml:space="preserve">30% Partnership &amp; Events (Lima Summit + university engagements)</w:t>
      </w:r>
    </w:p>
    <w:p>
      <w:pPr>
        <w:numPr>
          <w:ilvl w:val="0"/>
          <w:numId w:val="1007"/>
        </w:numPr>
        <w:pStyle w:val="Compact"/>
      </w:pPr>
      <w:r>
        <w:t xml:space="preserve">25% Content Development (videos, case studies in Spanish/English)</w:t>
      </w:r>
    </w:p>
    <w:p>
      <w:pPr>
        <w:pStyle w:val="FirstParagraph"/>
      </w:pPr>
      <w:r>
        <w:rPr>
          <w:bCs/>
          <w:b/>
        </w:rPr>
        <w:t xml:space="preserve">KPIs for Success:</w:t>
      </w:r>
    </w:p>
    <w:p>
      <w:pPr>
        <w:numPr>
          <w:ilvl w:val="0"/>
          <w:numId w:val="1008"/>
        </w:numPr>
        <w:pStyle w:val="Compact"/>
      </w:pPr>
      <w:r>
        <w:t xml:space="preserve">Achieve 40+ qualified applicants from the Lima target market within 6 months.</w:t>
      </w:r>
    </w:p>
    <w:p>
      <w:pPr>
        <w:numPr>
          <w:ilvl w:val="0"/>
          <w:numId w:val="1008"/>
        </w:numPr>
        <w:pStyle w:val="Compact"/>
      </w:pPr>
      <w:r>
        <w:t xml:space="preserve">Secure 15 Medical Researchers through this campaign by Month 18 (aligning with Peru’s National Health Strategy timeline).</w:t>
      </w:r>
    </w:p>
    <w:p>
      <w:pPr>
        <w:numPr>
          <w:ilvl w:val="0"/>
          <w:numId w:val="1008"/>
        </w:numPr>
        <w:pStyle w:val="Compact"/>
      </w:pPr>
      <w:r>
        <w:t xml:space="preserve">Maintain &gt;75% candidate satisfaction in post-hire surveys regarding Lima’s research ecosystem.</w:t>
      </w:r>
    </w:p>
    <w:bookmarkEnd w:id="28"/>
    <w:bookmarkStart w:id="29" w:name="Xde92706040e713a9401af38f45122804493ffb4"/>
    <w:p>
      <w:pPr>
        <w:pStyle w:val="Heading2"/>
      </w:pPr>
      <w:r>
        <w:t xml:space="preserve">Conclusion: Building Lima's Research Future</w:t>
      </w:r>
    </w:p>
    <w:p>
      <w:pPr>
        <w:pStyle w:val="FirstParagraph"/>
      </w:pPr>
      <w:r>
        <w:t xml:space="preserve">This Marketing Plan is not merely a recruitment tool—it is an investment in Peru’s health sovereignty. By embedding the Medical Researcher role within the fabric of</w:t>
      </w:r>
      <w:r>
        <w:t xml:space="preserve"> </w:t>
      </w:r>
      <w:r>
        <w:rPr>
          <w:bCs/>
          <w:b/>
        </w:rPr>
        <w:t xml:space="preserve">Peru Lima</w:t>
      </w:r>
      <w:r>
        <w:t xml:space="preserve">, we transform a job opening into a catalyst for local innovation. Medical Researchers will join not just an organization, but a movement: one where their work directly shapes healthcare for 12 million Limenos and inspires regional impact across Latin America. The time to act is now, as Peru positions itself at the vanguard of evidence-based medicine in the Global South. With this strategy, we don’t just fill vacancies—we cultivate Lima’s legacy as a beacon of medical research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Elite Medical Researchers to Lima, Peru</dc:title>
  <dc:creator/>
  <dc:language>en</dc:language>
  <cp:keywords/>
  <dcterms:created xsi:type="dcterms:W3CDTF">2026-07-23T11:48:10Z</dcterms:created>
  <dcterms:modified xsi:type="dcterms:W3CDTF">2026-07-23T11:48:10Z</dcterms:modified>
</cp:coreProperties>
</file>

<file path=docProps/custom.xml><?xml version="1.0" encoding="utf-8"?>
<Properties xmlns="http://schemas.openxmlformats.org/officeDocument/2006/custom-properties" xmlns:vt="http://schemas.openxmlformats.org/officeDocument/2006/docPropsVTypes"/>
</file>